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 w:val="0"/>
        <w:tabs>
          <w:tab w:val="right" w:pos="9630"/>
          <w:tab w:val="right" w:pos="13323"/>
        </w:tabs>
        <w:spacing w:after="0"/>
        <w:ind w:right="964"/>
        <w:jc w:val="righ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49016246"/>
      <w:bookmarkEnd w:id="0"/>
      <w:bookmarkStart w:id="1" w:name="_Hlt448930105"/>
      <w:bookmarkEnd w:id="1"/>
      <w:bookmarkStart w:id="2" w:name="_Hlt450066085"/>
      <w:bookmarkEnd w:id="2"/>
      <w:bookmarkStart w:id="3" w:name="_Hlt450051172"/>
      <w:bookmarkEnd w:id="3"/>
      <w:bookmarkStart w:id="4" w:name="_Hlt450066087"/>
      <w:bookmarkEnd w:id="4"/>
      <w:bookmarkStart w:id="5" w:name="_Hlt450039480"/>
      <w:bookmarkEnd w:id="5"/>
      <w:r>
        <w:rPr>
          <w:rFonts w:ascii="Arial" w:hAnsi="Arial" w:cs="Arial"/>
          <w:b/>
          <w:sz w:val="24"/>
          <w:szCs w:val="24"/>
        </w:rPr>
        <w:t>3GPP TSG-RAN WG4 Meeting #116-bis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R4-25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14029</w:t>
      </w:r>
      <w:bookmarkStart w:id="84" w:name="_GoBack"/>
      <w:bookmarkEnd w:id="84"/>
    </w:p>
    <w:p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Prague, CZ, 13th – 17th October 2025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Style w:val="61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1"/>
          <w:rFonts w:hint="eastAsia"/>
          <w:b/>
          <w:highlight w:val="none"/>
          <w:lang w:val="en-US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6" w:name="OLE_LINK14"/>
      <w:bookmarkStart w:id="7" w:name="OLE_LINK8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1"/>
          <w:rFonts w:hint="eastAsia"/>
          <w:b/>
          <w:highlight w:val="none"/>
          <w:lang w:val="pt-BR" w:eastAsia="zh-CN"/>
        </w:rPr>
        <w:t>iscussion on</w:t>
      </w:r>
      <w:bookmarkEnd w:id="6"/>
      <w:bookmarkEnd w:id="7"/>
      <w:r>
        <w:rPr>
          <w:rStyle w:val="61"/>
          <w:rFonts w:hint="eastAsia"/>
          <w:b/>
          <w:highlight w:val="none"/>
          <w:lang w:val="en-US" w:eastAsia="zh-CN"/>
        </w:rPr>
        <w:t xml:space="preserve"> SAN conformance testing requirements for Iot-NTN TDD band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Style w:val="61"/>
          <w:rFonts w:hint="eastAsia"/>
          <w:b/>
          <w:highlight w:val="none"/>
          <w:lang w:val="pt-BR" w:eastAsia="zh-CN"/>
        </w:rPr>
        <w:t>Agenda item:</w:t>
      </w:r>
      <w:r>
        <w:rPr>
          <w:rStyle w:val="61"/>
          <w:rFonts w:hint="eastAsia"/>
          <w:b/>
          <w:highlight w:val="none"/>
          <w:lang w:val="pt-BR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6.21.4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eastAsia"/>
          <w:b/>
          <w:highlight w:val="none"/>
          <w:lang w:val="pt-BR" w:eastAsia="zh-CN"/>
        </w:rPr>
      </w:pPr>
      <w:r>
        <w:rPr>
          <w:rStyle w:val="61"/>
          <w:rFonts w:hint="eastAsia"/>
          <w:b/>
          <w:highlight w:val="none"/>
          <w:lang w:val="pt-BR" w:eastAsia="zh-CN"/>
        </w:rPr>
        <w:t>Document for:</w:t>
      </w:r>
      <w:r>
        <w:rPr>
          <w:rStyle w:val="61"/>
          <w:rFonts w:hint="eastAsia"/>
          <w:b/>
          <w:highlight w:val="none"/>
          <w:lang w:val="pt-BR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106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revised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introduction of IoT-NTN TDD mode with the following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. In this contribution, we want to share some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the </w:t>
      </w:r>
      <w:r>
        <w:rPr>
          <w:sz w:val="20"/>
          <w:szCs w:val="20"/>
        </w:rPr>
        <w:t>NB-IoT TDD operating NTN band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from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SAN conformance testing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requirements perspective.</w:t>
      </w:r>
    </w:p>
    <w:tbl>
      <w:tblPr>
        <w:tblStyle w:val="25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This work item includes the following objectives: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a new NB-IoT TDD NTN mode</w:t>
            </w:r>
            <w:r>
              <w:rPr>
                <w:rStyle w:val="81"/>
                <w:sz w:val="20"/>
                <w:szCs w:val="20"/>
              </w:rPr>
              <w:t xml:space="preserve"> </w:t>
            </w:r>
            <w:r>
              <w:rPr>
                <w:rStyle w:val="82"/>
                <w:sz w:val="20"/>
                <w:szCs w:val="20"/>
              </w:rPr>
              <w:t>based on minimum necessary changes to the NB-IoT NTN FDD frame structure and procedures</w:t>
            </w:r>
            <w:r>
              <w:rPr>
                <w:sz w:val="20"/>
                <w:szCs w:val="20"/>
              </w:rPr>
              <w:t>,  including:</w:t>
            </w:r>
          </w:p>
          <w:p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Definition, configuration (if needed) and signaling (if needed) of the periodic pattern, necessary adaptation (if needed) and associated UE procedures [RAN1, RAN2]</w:t>
            </w:r>
          </w:p>
          <w:p>
            <w:pPr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Support a pattern with a period of 9 radio frames for the target MSS allocated band, where D=U=8 with a fixed guard period.</w:t>
            </w:r>
            <w:r>
              <w:rPr>
                <w:rFonts w:hint="cs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AN1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 necessary impacts on higher layers [RAN2]</w:t>
            </w:r>
          </w:p>
          <w:p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RRM and RF core requirements [RAN4]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a new NB-IoT TDD operating NTN band for the MSS allocation spanning 1616-1626.5 MHz for DL and UL, based on the outcome of the study, to be used as example band for this WI [RAN4].</w:t>
            </w:r>
          </w:p>
          <w:p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band numbering</w:t>
            </w:r>
          </w:p>
          <w:p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SAN and UE RF characteristics</w:t>
            </w:r>
          </w:p>
          <w:p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DL and UL channelization.</w:t>
            </w:r>
          </w:p>
          <w:p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pecify channel bandwidth as 200 kHz</w:t>
            </w:r>
          </w:p>
          <w:p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Note1: No NTN-NTN coexistence study needed.</w:t>
            </w:r>
          </w:p>
          <w:p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Note2: Leverage existing work as much as possible for TN-NTN coexistence of adjacent bands</w:t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1080" w:leftChars="0"/>
              <w:textAlignment w:val="baseline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bidi w:val="0"/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/>
          <w:sz w:val="20"/>
          <w:szCs w:val="18"/>
          <w:lang w:val="en-US" w:eastAsia="zh-CN"/>
        </w:rPr>
        <w:t>We make the following proposals for SAN conformance testing requirements for IoT-NTN TDD band 249.</w:t>
      </w: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2.1 General requirements for IoT-NTN TDD band 249</w:t>
      </w:r>
    </w:p>
    <w:tbl>
      <w:tblPr>
        <w:tblStyle w:val="24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145"/>
        <w:gridCol w:w="665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Calibri" w:hAnsi="Calibri" w:eastAsia="Times New Roman" w:cs="Calibri"/>
                <w:b/>
                <w:bCs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eastAsia="PMingLiU"/>
                <w:b/>
                <w:kern w:val="2"/>
                <w:sz w:val="18"/>
                <w:szCs w:val="18"/>
                <w:lang w:eastAsia="zh-CN"/>
              </w:rPr>
              <w:t>Requirements</w:t>
            </w:r>
            <w:r>
              <w:rPr>
                <w:rFonts w:hint="eastAsia" w:eastAsia="PMingLiU"/>
                <w:b/>
                <w:kern w:val="2"/>
                <w:sz w:val="18"/>
                <w:szCs w:val="18"/>
                <w:lang w:val="en-US" w:eastAsia="zh-CN"/>
              </w:rPr>
              <w:t xml:space="preserve"> in TS 36.181</w:t>
            </w:r>
          </w:p>
        </w:tc>
        <w:tc>
          <w:tcPr>
            <w:tcW w:w="6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b/>
                <w:kern w:val="2"/>
                <w:sz w:val="18"/>
                <w:szCs w:val="18"/>
                <w:lang w:eastAsia="zh-CN"/>
              </w:rPr>
              <w:t>Expected impact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numPr>
                <w:ilvl w:val="0"/>
                <w:numId w:val="0"/>
              </w:numPr>
              <w:spacing w:after="0"/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</w:pPr>
            <w:bookmarkStart w:id="8" w:name="_Toc120611113"/>
            <w:bookmarkStart w:id="9" w:name="_Toc131624488"/>
            <w:bookmarkStart w:id="10" w:name="_Toc138874162"/>
            <w:bookmarkStart w:id="11" w:name="_Toc130388963"/>
            <w:bookmarkStart w:id="12" w:name="_Toc130390724"/>
            <w:bookmarkStart w:id="13" w:name="_Toc120611522"/>
            <w:bookmarkStart w:id="14" w:name="_Toc120610711"/>
            <w:bookmarkStart w:id="15" w:name="_Toc176539095"/>
            <w:bookmarkStart w:id="16" w:name="_Toc120612360"/>
            <w:bookmarkStart w:id="17" w:name="_Toc120614519"/>
            <w:bookmarkStart w:id="18" w:name="_Toc120622661"/>
            <w:bookmarkStart w:id="19" w:name="_Toc153559885"/>
            <w:bookmarkStart w:id="20" w:name="_Toc120609568"/>
            <w:bookmarkStart w:id="21" w:name="_Toc120623805"/>
            <w:bookmarkStart w:id="22" w:name="_Toc120628197"/>
            <w:bookmarkStart w:id="23" w:name="_Toc120624342"/>
            <w:bookmarkStart w:id="24" w:name="_Toc145524760"/>
            <w:bookmarkStart w:id="25" w:name="_Toc120630871"/>
            <w:bookmarkStart w:id="26" w:name="_Toc161647185"/>
            <w:bookmarkStart w:id="27" w:name="_Toc137475921"/>
            <w:bookmarkStart w:id="28" w:name="_Toc120622155"/>
            <w:bookmarkStart w:id="29" w:name="_Toc169532765"/>
            <w:bookmarkStart w:id="30" w:name="_Toc120613646"/>
            <w:bookmarkStart w:id="31" w:name="_Toc120626500"/>
            <w:bookmarkStart w:id="32" w:name="_Toc192246384"/>
            <w:bookmarkStart w:id="33" w:name="_Toc120624879"/>
            <w:bookmarkStart w:id="34" w:name="_Toc120614978"/>
            <w:bookmarkStart w:id="35" w:name="_Toc120633472"/>
            <w:bookmarkStart w:id="36" w:name="_Toc200450665"/>
            <w:bookmarkStart w:id="37" w:name="_Toc120632822"/>
            <w:bookmarkStart w:id="38" w:name="_Toc120625953"/>
            <w:bookmarkStart w:id="39" w:name="_Toc120625416"/>
            <w:bookmarkStart w:id="40" w:name="_Toc120623280"/>
            <w:bookmarkStart w:id="41" w:name="_Toc120544752"/>
            <w:bookmarkStart w:id="42" w:name="_Toc120606978"/>
            <w:bookmarkStart w:id="43" w:name="_Toc120607332"/>
            <w:bookmarkStart w:id="44" w:name="_Toc120634774"/>
            <w:bookmarkStart w:id="45" w:name="_Toc120629370"/>
            <w:bookmarkStart w:id="46" w:name="_Toc120611940"/>
            <w:bookmarkStart w:id="47" w:name="_Toc120609177"/>
            <w:bookmarkStart w:id="48" w:name="_Toc120609959"/>
            <w:bookmarkStart w:id="49" w:name="_Toc120606624"/>
            <w:bookmarkStart w:id="50" w:name="_Toc120607689"/>
            <w:bookmarkStart w:id="51" w:name="_Toc120627621"/>
            <w:bookmarkStart w:id="52" w:name="_Toc171519366"/>
            <w:bookmarkStart w:id="53" w:name="_Toc130390036"/>
            <w:bookmarkStart w:id="54" w:name="_Toc120634123"/>
            <w:bookmarkStart w:id="55" w:name="_Toc120628782"/>
            <w:bookmarkStart w:id="56" w:name="_Toc120612787"/>
            <w:bookmarkStart w:id="57" w:name="_Toc129109181"/>
            <w:bookmarkStart w:id="58" w:name="_Toc120632172"/>
            <w:bookmarkStart w:id="59" w:name="_Toc138872576"/>
            <w:bookmarkStart w:id="60" w:name="_Toc120627056"/>
            <w:bookmarkStart w:id="61" w:name="_Toc121754568"/>
            <w:bookmarkStart w:id="62" w:name="_Toc120613216"/>
            <w:bookmarkStart w:id="63" w:name="_Toc121753898"/>
            <w:bookmarkStart w:id="64" w:name="_Toc120631522"/>
            <w:bookmarkStart w:id="65" w:name="_Toc120608417"/>
            <w:bookmarkStart w:id="66" w:name="_Toc120614076"/>
            <w:bookmarkStart w:id="67" w:name="_Toc129108520"/>
            <w:bookmarkStart w:id="68" w:name="_Toc120608797"/>
            <w:bookmarkStart w:id="69" w:name="_Toc120545107"/>
            <w:bookmarkStart w:id="70" w:name="_Toc120608052"/>
            <w:bookmarkStart w:id="71" w:name="_Toc120545723"/>
            <w:bookmarkStart w:id="72" w:name="_Toc129109843"/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4 General test conditions and declarations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</w:p>
          <w:p>
            <w:pPr>
              <w:spacing w:after="0"/>
              <w:rPr>
                <w:rFonts w:hint="eastAsia" w:ascii="Times New Roman" w:hAnsi="Times New Roman" w:cs="Times New Roman"/>
                <w:sz w:val="20"/>
                <w:szCs w:val="20"/>
                <w:lang w:val="fi-FI" w:eastAsia="fi-FI"/>
              </w:rPr>
            </w:pP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4.1 Measurement uncertainties and test requirements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4.2 Requirement reference points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4.3 Satellite Access Node classes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4.4 Regional requirements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Need to add band 249 in Table 4.4-1.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4.5 SAN configurations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4.6 Manufacturer declarations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4.7 Test configurations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The carrier bandwidth in section 4.7.3.1 needs to be updated.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4.8 Applicability of requirements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eed to revise the applicability Transmit ON/OFF power in Table 4.8.2-1.</w:t>
            </w:r>
          </w:p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Need to add </w:t>
            </w:r>
            <w:r>
              <w:rPr>
                <w:rFonts w:hint="default"/>
                <w:color w:val="000000"/>
                <w:sz w:val="20"/>
                <w:szCs w:val="20"/>
                <w:lang w:val="en-US" w:eastAsia="zh-CN"/>
              </w:rPr>
              <w:t xml:space="preserve">“Transmit ON/OFF power (only applied for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NB-IoT </w:t>
            </w:r>
            <w:r>
              <w:rPr>
                <w:rFonts w:hint="default"/>
                <w:color w:val="000000"/>
                <w:sz w:val="20"/>
                <w:szCs w:val="20"/>
                <w:lang w:val="en-US" w:eastAsia="zh-CN"/>
              </w:rPr>
              <w:t xml:space="preserve">TDD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SAN</w:t>
            </w:r>
            <w:r>
              <w:rPr>
                <w:rFonts w:hint="default"/>
                <w:color w:val="000000"/>
                <w:sz w:val="20"/>
                <w:szCs w:val="20"/>
                <w:lang w:val="en-US" w:eastAsia="zh-CN"/>
              </w:rPr>
              <w:t>)”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in Table 4.8.3-1.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4.9 RF channels and test models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4.10 Requirements for contiguous and non-contiguous spectrum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4.11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Requirements for SAN capable of multi-band operation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4.1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Reference coordinate system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4.1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Format and interpretation of tests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2.2 Conducted Tx requirements for IoT-NTN TDD band 249</w:t>
      </w:r>
    </w:p>
    <w:tbl>
      <w:tblPr>
        <w:tblStyle w:val="24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145"/>
        <w:gridCol w:w="665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Calibri" w:hAnsi="Calibri" w:eastAsia="Times New Roman" w:cs="Calibri"/>
                <w:b/>
                <w:bCs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eastAsia="PMingLiU"/>
                <w:b/>
                <w:kern w:val="2"/>
                <w:sz w:val="18"/>
                <w:szCs w:val="18"/>
                <w:lang w:eastAsia="zh-CN"/>
              </w:rPr>
              <w:t>Requirements</w:t>
            </w:r>
            <w:r>
              <w:rPr>
                <w:rFonts w:hint="eastAsia" w:eastAsia="PMingLiU"/>
                <w:b/>
                <w:kern w:val="2"/>
                <w:sz w:val="18"/>
                <w:szCs w:val="18"/>
                <w:lang w:val="en-US" w:eastAsia="zh-CN"/>
              </w:rPr>
              <w:t xml:space="preserve"> in TS 36.181</w:t>
            </w:r>
          </w:p>
        </w:tc>
        <w:tc>
          <w:tcPr>
            <w:tcW w:w="6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b/>
                <w:kern w:val="2"/>
                <w:sz w:val="18"/>
                <w:szCs w:val="18"/>
                <w:lang w:eastAsia="zh-CN"/>
              </w:rPr>
              <w:t>Expected impact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numPr>
                <w:ilvl w:val="0"/>
                <w:numId w:val="0"/>
              </w:numPr>
              <w:spacing w:after="0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Conduct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ed transmitter characteristics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ascii="Times New Roman" w:hAnsi="Times New Roman" w:cs="Times New Roman"/>
                <w:sz w:val="20"/>
                <w:szCs w:val="20"/>
                <w:lang w:val="en-US" w:eastAsia="fi-FI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.1 General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160" w:line="259" w:lineRule="auto"/>
              <w:rPr>
                <w:rFonts w:hint="default" w:eastAsia="Times New Roman"/>
                <w:strike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2 Satellite Access Node output power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6.3 Output power dynamics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6.3.1 General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6.3.2 RE power control dynamic range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76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6.3.3 Total power dynamic range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6.4 Transmit ON/OFF power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ascii="Times New Roman" w:hAnsi="Times New Roman" w:eastAsia="Times New Roman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eed to update transmit ON/OFF power requirement for NB-IoT TDD SAN.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6.5 Transmitted signal quality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ascii="Times New Roman" w:hAnsi="Times New Roman" w:eastAsia="Times New Roman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6.5.1 General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6.5.2 Frequency error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6.5.3 Modulation quality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6.5.4 Time alignment error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6.5.5 DL RS power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6.6 Unwanted emissions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ascii="Times New Roman" w:hAnsi="Times New Roman" w:eastAsia="宋体" w:cs="Times New Roman"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6.6.1 General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6.6.2 Occupied bandwidth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6.6.3 Adjacent Channel Leakage Power Ratio (ACLR)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6.6.4 Out-of-band emissions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6.6.5 Transmitter spurious emissions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6.7 Transmitter intermodulation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2.3 Conducted Rx requirements for NTN IoT-NTN TDD band 249</w:t>
      </w:r>
    </w:p>
    <w:tbl>
      <w:tblPr>
        <w:tblStyle w:val="24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606"/>
        <w:gridCol w:w="7194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Calibri" w:hAnsi="Calibri" w:eastAsia="Times New Roman" w:cs="Calibri"/>
                <w:b/>
                <w:bCs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eastAsia="PMingLiU"/>
                <w:b/>
                <w:kern w:val="2"/>
                <w:sz w:val="18"/>
                <w:szCs w:val="18"/>
                <w:lang w:eastAsia="zh-CN"/>
              </w:rPr>
              <w:t>Requirements</w:t>
            </w:r>
            <w:r>
              <w:rPr>
                <w:rFonts w:hint="eastAsia" w:eastAsia="PMingLiU"/>
                <w:b/>
                <w:kern w:val="2"/>
                <w:sz w:val="18"/>
                <w:szCs w:val="18"/>
                <w:lang w:val="en-US" w:eastAsia="zh-CN"/>
              </w:rPr>
              <w:t xml:space="preserve"> in TS 38.181</w:t>
            </w:r>
          </w:p>
        </w:tc>
        <w:tc>
          <w:tcPr>
            <w:tcW w:w="6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b/>
                <w:kern w:val="2"/>
                <w:sz w:val="18"/>
                <w:szCs w:val="18"/>
                <w:lang w:eastAsia="zh-CN"/>
              </w:rPr>
              <w:t>Expected impact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numPr>
                <w:ilvl w:val="0"/>
                <w:numId w:val="0"/>
              </w:numPr>
              <w:spacing w:after="0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Conduc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ted receiver characteristics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ascii="Times New Roman" w:hAnsi="Times New Roman" w:cs="Times New Roman"/>
                <w:sz w:val="20"/>
                <w:szCs w:val="20"/>
                <w:lang w:val="en-US" w:eastAsia="fi-FI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7.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1 General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160" w:line="259" w:lineRule="auto"/>
              <w:rPr>
                <w:rFonts w:hint="default" w:eastAsia="Times New Roman"/>
                <w:strike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7.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2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Reference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sensitivity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 level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eed to add the following REFSENS requirement for IoT-NTN TDD band.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Table 7.2.</w:t>
            </w:r>
            <w:r>
              <w:rPr>
                <w:rFonts w:hint="eastAsia" w:ascii="Arial" w:hAnsi="Arial"/>
                <w:b/>
                <w:lang w:val="en-US" w:eastAsia="zh-CN"/>
              </w:rPr>
              <w:t>5</w:t>
            </w:r>
            <w:r>
              <w:rPr>
                <w:rFonts w:ascii="Arial" w:hAnsi="Arial"/>
                <w:b/>
                <w:lang w:eastAsia="en-GB"/>
              </w:rPr>
              <w:t>-</w:t>
            </w:r>
            <w:r>
              <w:rPr>
                <w:rFonts w:hint="eastAsia" w:ascii="Arial" w:hAnsi="Arial"/>
                <w:b/>
                <w:lang w:val="en-US" w:eastAsia="zh-CN"/>
              </w:rPr>
              <w:t>5</w:t>
            </w:r>
            <w:r>
              <w:rPr>
                <w:rFonts w:ascii="Arial" w:hAnsi="Arial"/>
                <w:b/>
                <w:lang w:eastAsia="en-GB"/>
              </w:rPr>
              <w:t xml:space="preserve">: </w:t>
            </w:r>
            <w:r>
              <w:rPr>
                <w:rFonts w:hint="eastAsia" w:ascii="Arial" w:hAnsi="Arial"/>
                <w:b/>
                <w:lang w:val="en-US" w:eastAsia="zh-CN"/>
              </w:rPr>
              <w:t>R</w:t>
            </w:r>
            <w:r>
              <w:rPr>
                <w:rFonts w:ascii="Arial" w:hAnsi="Arial"/>
                <w:b/>
                <w:lang w:eastAsia="en-GB"/>
              </w:rPr>
              <w:t>eference sensitivity levels</w:t>
            </w:r>
            <w:r>
              <w:rPr>
                <w:rFonts w:hint="eastAsia" w:ascii="Arial" w:hAnsi="Arial"/>
                <w:b/>
                <w:lang w:val="en-US" w:eastAsia="zh-CN"/>
              </w:rPr>
              <w:t xml:space="preserve"> of SAN supporting </w:t>
            </w:r>
            <w:r>
              <w:rPr>
                <w:rFonts w:ascii="Arial" w:hAnsi="Arial" w:cs="v5.0.0"/>
                <w:b/>
                <w:lang w:eastAsia="en-GB"/>
              </w:rPr>
              <w:t>standalone NB-IoT operation and NB-IoT operation in NTN NR in-band</w:t>
            </w:r>
            <w:r>
              <w:rPr>
                <w:rFonts w:hint="eastAsia" w:ascii="Arial" w:hAnsi="Arial"/>
                <w:b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lang w:eastAsia="zh-CN"/>
              </w:rPr>
              <w:t xml:space="preserve">in TDD operating bands </w:t>
            </w:r>
            <w:r>
              <w:rPr>
                <w:rFonts w:hint="eastAsia" w:ascii="Arial" w:hAnsi="Arial"/>
                <w:b/>
                <w:lang w:eastAsia="zh-CN"/>
              </w:rPr>
              <w:t>(</w:t>
            </w:r>
            <w:r>
              <w:rPr>
                <w:rFonts w:hint="eastAsia" w:ascii="Arial" w:hAnsi="Arial"/>
                <w:b/>
                <w:lang w:val="en-US" w:eastAsia="zh-CN"/>
              </w:rPr>
              <w:t>L</w:t>
            </w:r>
            <w:r>
              <w:rPr>
                <w:rFonts w:hint="eastAsia" w:ascii="Arial" w:hAnsi="Arial"/>
                <w:b/>
                <w:lang w:eastAsia="zh-CN"/>
              </w:rPr>
              <w:t xml:space="preserve">EO </w:t>
            </w:r>
            <w:r>
              <w:rPr>
                <w:rFonts w:ascii="Arial" w:hAnsi="Arial"/>
                <w:b/>
                <w:lang w:eastAsia="zh-CN"/>
              </w:rPr>
              <w:t xml:space="preserve">class </w:t>
            </w:r>
            <w:r>
              <w:rPr>
                <w:rFonts w:hint="eastAsia" w:ascii="Arial" w:hAnsi="Arial"/>
                <w:b/>
                <w:lang w:eastAsia="zh-CN"/>
              </w:rPr>
              <w:t>payload)</w:t>
            </w:r>
          </w:p>
          <w:tbl>
            <w:tblPr>
              <w:tblStyle w:val="24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2"/>
              <w:gridCol w:w="1655"/>
              <w:gridCol w:w="1997"/>
              <w:gridCol w:w="18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029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zh-CN"/>
                    </w:rPr>
                    <w:t>SAN</w:t>
                  </w:r>
                  <w:r>
                    <w:rPr>
                      <w:rFonts w:ascii="Arial" w:hAnsi="Arial" w:cs="Arial"/>
                      <w:b/>
                      <w:sz w:val="18"/>
                      <w:lang w:eastAsia="en-GB"/>
                    </w:rPr>
                    <w:t xml:space="preserve">  </w:t>
                  </w:r>
                  <w:r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  <w:t>channel bandwidth (kHz)</w:t>
                  </w:r>
                </w:p>
              </w:tc>
              <w:tc>
                <w:tcPr>
                  <w:tcW w:w="2199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Sub-carrier spacing</w:t>
                  </w:r>
                </w:p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  <w:t>(kHz)</w:t>
                  </w:r>
                </w:p>
              </w:tc>
              <w:tc>
                <w:tcPr>
                  <w:tcW w:w="2692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Reference measurement channel</w:t>
                  </w:r>
                </w:p>
              </w:tc>
              <w:tc>
                <w:tcPr>
                  <w:tcW w:w="2709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vertAlign w:val="subscript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 xml:space="preserve"> Reference sensitivity power level, P</w:t>
                  </w:r>
                  <w:r>
                    <w:rPr>
                      <w:rFonts w:ascii="Arial" w:hAnsi="Arial" w:cs="Arial"/>
                      <w:b/>
                      <w:sz w:val="18"/>
                      <w:vertAlign w:val="subscript"/>
                      <w:lang w:eastAsia="ja-JP"/>
                    </w:rPr>
                    <w:t>REFSENS</w:t>
                  </w:r>
                </w:p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 xml:space="preserve"> (dBm)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029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200</w:t>
                  </w:r>
                </w:p>
              </w:tc>
              <w:tc>
                <w:tcPr>
                  <w:tcW w:w="2199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15</w:t>
                  </w:r>
                </w:p>
              </w:tc>
              <w:tc>
                <w:tcPr>
                  <w:tcW w:w="2692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FRC A14-3 in Annex A.14</w:t>
                  </w:r>
                </w:p>
              </w:tc>
              <w:tc>
                <w:tcPr>
                  <w:tcW w:w="2709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val="en-US" w:eastAsia="ja-JP" w:bidi="ar"/>
                    </w:rPr>
                    <w:t>-12</w:t>
                  </w:r>
                  <w:r>
                    <w:rPr>
                      <w:rFonts w:hint="eastAsia" w:ascii="Arial" w:hAnsi="Arial" w:cs="Arial"/>
                      <w:sz w:val="18"/>
                      <w:lang w:val="en-US" w:eastAsia="zh-CN" w:bidi="ar"/>
                    </w:rPr>
                    <w:t>6</w:t>
                  </w:r>
                  <w:r>
                    <w:rPr>
                      <w:rFonts w:ascii="Arial" w:hAnsi="Arial" w:cs="Arial"/>
                      <w:sz w:val="18"/>
                      <w:lang w:val="en-US" w:eastAsia="ja-JP" w:bidi="ar"/>
                    </w:rPr>
                    <w:t>.1</w:t>
                  </w:r>
                </w:p>
              </w:tc>
            </w:tr>
          </w:tbl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7.3 Dynamic range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eed to add the following dynamic range requirement for IoT-NTN TDD band.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eastAsia="Osaka"/>
                <w:b/>
                <w:lang w:eastAsia="en-GB"/>
              </w:rPr>
            </w:pPr>
            <w:r>
              <w:rPr>
                <w:rFonts w:ascii="Arial" w:hAnsi="Arial" w:eastAsia="Osaka"/>
                <w:b/>
                <w:lang w:eastAsia="en-GB"/>
              </w:rPr>
              <w:t>Table 7.</w:t>
            </w:r>
            <w:r>
              <w:rPr>
                <w:rFonts w:hint="eastAsia" w:ascii="Arial" w:hAnsi="Arial" w:eastAsia="宋体"/>
                <w:b/>
                <w:lang w:val="en-US" w:eastAsia="zh-CN"/>
              </w:rPr>
              <w:t>3.5</w:t>
            </w:r>
            <w:r>
              <w:rPr>
                <w:rFonts w:ascii="Arial" w:hAnsi="Arial" w:eastAsia="Osaka"/>
                <w:b/>
                <w:lang w:eastAsia="en-GB"/>
              </w:rPr>
              <w:t>-</w:t>
            </w:r>
            <w:r>
              <w:rPr>
                <w:rFonts w:hint="eastAsia" w:ascii="Arial" w:hAnsi="Arial" w:eastAsia="宋体"/>
                <w:b/>
                <w:lang w:val="en-US" w:eastAsia="zh-CN"/>
              </w:rPr>
              <w:t>4</w:t>
            </w:r>
            <w:r>
              <w:rPr>
                <w:rFonts w:ascii="Arial" w:hAnsi="Arial" w:eastAsia="Osaka"/>
                <w:b/>
                <w:lang w:eastAsia="en-GB"/>
              </w:rPr>
              <w:t xml:space="preserve">: </w:t>
            </w:r>
            <w:r>
              <w:rPr>
                <w:rFonts w:hint="eastAsia" w:ascii="Arial" w:hAnsi="Arial"/>
                <w:b/>
                <w:lang w:val="en-US" w:eastAsia="zh-CN"/>
              </w:rPr>
              <w:t>D</w:t>
            </w:r>
            <w:r>
              <w:rPr>
                <w:rFonts w:ascii="Arial" w:hAnsi="Arial"/>
                <w:b/>
                <w:lang w:eastAsia="en-GB"/>
              </w:rPr>
              <w:t>ynamic range</w:t>
            </w:r>
            <w:r>
              <w:rPr>
                <w:rFonts w:ascii="Arial" w:hAnsi="Arial"/>
                <w:b/>
                <w:lang w:val="en-US" w:eastAsia="en-GB"/>
              </w:rPr>
              <w:t xml:space="preserve"> </w:t>
            </w:r>
            <w:r>
              <w:rPr>
                <w:rFonts w:hint="eastAsia" w:ascii="Arial" w:hAnsi="Arial"/>
                <w:b/>
                <w:lang w:val="en-US" w:eastAsia="zh-CN"/>
              </w:rPr>
              <w:t xml:space="preserve">of SAN supporting </w:t>
            </w:r>
            <w:r>
              <w:rPr>
                <w:rFonts w:hint="eastAsia" w:ascii="Arial" w:hAnsi="Arial" w:eastAsia="宋体"/>
                <w:b/>
                <w:lang w:val="en-US" w:eastAsia="zh-CN"/>
              </w:rPr>
              <w:t xml:space="preserve">standalone </w:t>
            </w:r>
            <w:r>
              <w:rPr>
                <w:rFonts w:ascii="Arial" w:hAnsi="Arial" w:eastAsia="宋体"/>
                <w:b/>
                <w:lang w:eastAsia="zh-CN"/>
              </w:rPr>
              <w:t>NB-IoT</w:t>
            </w:r>
            <w:r>
              <w:rPr>
                <w:rFonts w:hint="eastAsia" w:ascii="Arial" w:hAnsi="Arial" w:eastAsia="宋体"/>
                <w:b/>
                <w:lang w:val="en-US" w:eastAsia="zh-CN"/>
              </w:rPr>
              <w:t xml:space="preserve"> operation</w:t>
            </w:r>
            <w:r>
              <w:rPr>
                <w:rFonts w:hint="eastAsia" w:ascii="Arial" w:hAnsi="Arial"/>
                <w:b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lang w:val="en-US" w:eastAsia="zh-CN"/>
              </w:rPr>
              <w:t xml:space="preserve">in TDD bands </w:t>
            </w:r>
            <w:r>
              <w:rPr>
                <w:rFonts w:hint="eastAsia" w:ascii="Arial" w:hAnsi="Arial"/>
                <w:b/>
                <w:lang w:eastAsia="zh-CN"/>
              </w:rPr>
              <w:t xml:space="preserve">(LEO </w:t>
            </w:r>
            <w:r>
              <w:rPr>
                <w:rFonts w:ascii="Arial" w:hAnsi="Arial"/>
                <w:b/>
                <w:lang w:eastAsia="zh-CN"/>
              </w:rPr>
              <w:t xml:space="preserve">class </w:t>
            </w:r>
            <w:r>
              <w:rPr>
                <w:rFonts w:hint="eastAsia" w:ascii="Arial" w:hAnsi="Arial"/>
                <w:b/>
                <w:lang w:eastAsia="zh-CN"/>
              </w:rPr>
              <w:t>payload)</w:t>
            </w:r>
          </w:p>
          <w:tbl>
            <w:tblPr>
              <w:tblStyle w:val="24"/>
              <w:tblW w:w="7044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6"/>
              <w:gridCol w:w="1387"/>
              <w:gridCol w:w="1550"/>
              <w:gridCol w:w="1567"/>
              <w:gridCol w:w="1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16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zh-CN"/>
                    </w:rPr>
                    <w:t>SAN</w:t>
                  </w:r>
                  <w:r>
                    <w:rPr>
                      <w:rFonts w:ascii="Arial" w:hAnsi="Arial" w:cs="Arial"/>
                      <w:b/>
                      <w:sz w:val="18"/>
                      <w:lang w:eastAsia="en-GB"/>
                    </w:rPr>
                    <w:t xml:space="preserve">  </w:t>
                  </w:r>
                  <w:r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  <w:t xml:space="preserve"> channel bandwidth (kHz)</w:t>
                  </w:r>
                </w:p>
              </w:tc>
              <w:tc>
                <w:tcPr>
                  <w:tcW w:w="1387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Reference measurement channel</w:t>
                  </w:r>
                </w:p>
              </w:tc>
              <w:tc>
                <w:tcPr>
                  <w:tcW w:w="1550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Wanted signal mean power (dBm)</w:t>
                  </w:r>
                </w:p>
              </w:tc>
              <w:tc>
                <w:tcPr>
                  <w:tcW w:w="1567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Interfering signal mean power (dBm) / BW</w:t>
                  </w:r>
                  <w:r>
                    <w:rPr>
                      <w:rFonts w:ascii="Arial" w:hAnsi="Arial" w:cs="Arial"/>
                      <w:b/>
                      <w:sz w:val="18"/>
                      <w:vertAlign w:val="subscript"/>
                      <w:lang w:eastAsia="ja-JP"/>
                    </w:rPr>
                    <w:t>Channel</w:t>
                  </w:r>
                </w:p>
              </w:tc>
              <w:tc>
                <w:tcPr>
                  <w:tcW w:w="1424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Type of interfering signal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16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hint="eastAsia" w:ascii="Arial" w:hAnsi="Arial" w:cs="Arial"/>
                      <w:sz w:val="18"/>
                      <w:lang w:eastAsia="ja-JP"/>
                    </w:rPr>
                    <w:t>200</w:t>
                  </w:r>
                </w:p>
              </w:tc>
              <w:tc>
                <w:tcPr>
                  <w:tcW w:w="1387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hint="eastAsia" w:ascii="Arial" w:hAnsi="Arial" w:cs="Arial"/>
                      <w:sz w:val="18"/>
                      <w:lang w:eastAsia="ja-JP"/>
                    </w:rPr>
                    <w:t>FRC A1</w:t>
                  </w: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5</w:t>
                  </w:r>
                  <w:r>
                    <w:rPr>
                      <w:rFonts w:hint="eastAsia" w:ascii="Arial" w:hAnsi="Arial" w:cs="Arial"/>
                      <w:sz w:val="18"/>
                      <w:lang w:eastAsia="ja-JP"/>
                    </w:rPr>
                    <w:t>-1 in Annex A.1</w:t>
                  </w: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5</w:t>
                  </w:r>
                </w:p>
              </w:tc>
              <w:tc>
                <w:tcPr>
                  <w:tcW w:w="1550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val="en-US" w:eastAsia="zh-CN" w:bidi="ar"/>
                    </w:rPr>
                  </w:pPr>
                  <w:r>
                    <w:rPr>
                      <w:rFonts w:hint="eastAsia" w:ascii="Arial" w:hAnsi="Arial" w:cs="Arial"/>
                      <w:sz w:val="18"/>
                      <w:lang w:val="en-US" w:eastAsia="zh-CN" w:bidi="ar"/>
                    </w:rPr>
                    <w:t>-105.1</w:t>
                  </w:r>
                </w:p>
              </w:tc>
              <w:tc>
                <w:tcPr>
                  <w:tcW w:w="1567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val="en-US" w:eastAsia="zh-CN" w:bidi="ar"/>
                    </w:rPr>
                  </w:pPr>
                  <w:r>
                    <w:rPr>
                      <w:rFonts w:hint="eastAsia" w:ascii="Arial" w:hAnsi="Arial" w:cs="Arial"/>
                      <w:sz w:val="18"/>
                      <w:lang w:val="en-US" w:eastAsia="zh-CN" w:bidi="ar"/>
                    </w:rPr>
                    <w:t>-101.7</w:t>
                  </w:r>
                </w:p>
              </w:tc>
              <w:tc>
                <w:tcPr>
                  <w:tcW w:w="1424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AWGN</w:t>
                  </w:r>
                </w:p>
              </w:tc>
            </w:tr>
          </w:tbl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7.4 In-band selectivity and blocking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7.4.1 Adjacent channel selectivity (ACS)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eed to add the following ACS requirement for IoT-NTN TDD band.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eastAsia="宋体"/>
                <w:b/>
                <w:lang w:val="en-US" w:eastAsia="zh-CN"/>
              </w:rPr>
            </w:pPr>
            <w:r>
              <w:rPr>
                <w:rFonts w:ascii="Arial" w:hAnsi="Arial"/>
                <w:b/>
                <w:lang w:eastAsia="en-GB"/>
              </w:rPr>
              <w:t xml:space="preserve">Table </w:t>
            </w:r>
            <w:r>
              <w:rPr>
                <w:rFonts w:ascii="Arial" w:hAnsi="Arial" w:eastAsia="宋体"/>
                <w:b/>
                <w:lang w:eastAsia="zh-CN"/>
              </w:rPr>
              <w:t>7.4.1.</w:t>
            </w:r>
            <w:r>
              <w:rPr>
                <w:rFonts w:hint="eastAsia" w:ascii="Arial" w:hAnsi="Arial"/>
                <w:b/>
                <w:lang w:val="en-US" w:eastAsia="zh-CN"/>
              </w:rPr>
              <w:t>5</w:t>
            </w:r>
            <w:r>
              <w:rPr>
                <w:rFonts w:ascii="Arial" w:hAnsi="Arial"/>
                <w:b/>
                <w:lang w:eastAsia="en-GB"/>
              </w:rPr>
              <w:t>-</w:t>
            </w:r>
            <w:r>
              <w:rPr>
                <w:rFonts w:hint="eastAsia" w:ascii="Arial" w:hAnsi="Arial" w:eastAsia="宋体"/>
                <w:b/>
                <w:lang w:val="en-US" w:eastAsia="zh-CN"/>
              </w:rPr>
              <w:t>3</w:t>
            </w:r>
            <w:r>
              <w:rPr>
                <w:rFonts w:ascii="Arial" w:hAnsi="Arial"/>
                <w:b/>
                <w:lang w:eastAsia="en-GB"/>
              </w:rPr>
              <w:t>: A</w:t>
            </w:r>
            <w:r>
              <w:rPr>
                <w:rFonts w:ascii="Arial" w:hAnsi="Arial" w:eastAsia="宋体"/>
                <w:b/>
                <w:lang w:eastAsia="zh-CN"/>
              </w:rPr>
              <w:t>CS requirement</w:t>
            </w:r>
            <w:r>
              <w:rPr>
                <w:rFonts w:hint="eastAsia" w:ascii="Arial" w:hAnsi="Arial" w:eastAsia="宋体"/>
                <w:b/>
                <w:lang w:val="en-US" w:eastAsia="zh-CN"/>
              </w:rPr>
              <w:t xml:space="preserve"> of SAN supporting standalone </w:t>
            </w:r>
            <w:r>
              <w:rPr>
                <w:rFonts w:ascii="Arial" w:hAnsi="Arial" w:eastAsia="宋体"/>
                <w:b/>
                <w:lang w:eastAsia="zh-CN"/>
              </w:rPr>
              <w:t>NB-IoT</w:t>
            </w:r>
            <w:r>
              <w:rPr>
                <w:rFonts w:hint="eastAsia" w:ascii="Arial" w:hAnsi="Arial" w:eastAsia="宋体"/>
                <w:b/>
                <w:lang w:val="en-US" w:eastAsia="zh-CN"/>
              </w:rPr>
              <w:t xml:space="preserve"> operation</w:t>
            </w:r>
            <w:r>
              <w:rPr>
                <w:rFonts w:ascii="Arial" w:hAnsi="Arial" w:eastAsia="宋体"/>
                <w:b/>
                <w:lang w:val="en-US" w:eastAsia="zh-CN"/>
              </w:rPr>
              <w:t xml:space="preserve"> for TDD bands</w:t>
            </w:r>
          </w:p>
          <w:tbl>
            <w:tblPr>
              <w:tblStyle w:val="24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67"/>
              <w:gridCol w:w="1225"/>
              <w:gridCol w:w="1213"/>
              <w:gridCol w:w="1590"/>
              <w:gridCol w:w="15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67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b/>
                      <w:sz w:val="18"/>
                      <w:lang w:val="en-US" w:eastAsia="zh-CN"/>
                    </w:rPr>
                    <w:t>SAN</w:t>
                  </w:r>
                </w:p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  <w:t xml:space="preserve">channel bandwidth </w:t>
                  </w: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 xml:space="preserve">of the lowest/highest carrier received </w:t>
                  </w:r>
                  <w:r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  <w:t>(kHz)</w:t>
                  </w:r>
                </w:p>
              </w:tc>
              <w:tc>
                <w:tcPr>
                  <w:tcW w:w="1935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Wanted signal mean power (dBm)</w:t>
                  </w:r>
                </w:p>
              </w:tc>
              <w:tc>
                <w:tcPr>
                  <w:tcW w:w="1434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Interfering signal mean power (dBm)</w:t>
                  </w:r>
                </w:p>
              </w:tc>
              <w:tc>
                <w:tcPr>
                  <w:tcW w:w="2324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 xml:space="preserve">Interfering signal centre frequency offset </w:t>
                  </w:r>
                  <w:r>
                    <w:rPr>
                      <w:rFonts w:hint="eastAsia" w:ascii="Arial" w:hAnsi="Arial" w:cs="Arial"/>
                      <w:b/>
                      <w:sz w:val="18"/>
                      <w:lang w:eastAsia="zh-CN"/>
                    </w:rPr>
                    <w:t>to the lower</w:t>
                  </w:r>
                  <w:r>
                    <w:rPr>
                      <w:rFonts w:ascii="Arial" w:hAnsi="Arial" w:cs="Arial"/>
                      <w:b/>
                      <w:sz w:val="18"/>
                      <w:lang w:eastAsia="zh-CN"/>
                    </w:rPr>
                    <w:t>/</w:t>
                  </w:r>
                  <w:r>
                    <w:rPr>
                      <w:rFonts w:hint="eastAsia" w:ascii="Arial" w:hAnsi="Arial" w:cs="Arial"/>
                      <w:b/>
                      <w:sz w:val="18"/>
                      <w:lang w:eastAsia="zh-CN"/>
                    </w:rPr>
                    <w:t>upper</w:t>
                  </w: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 xml:space="preserve"> SAN RF Bandwidth edge </w:t>
                  </w:r>
                  <w:r>
                    <w:rPr>
                      <w:rFonts w:hint="eastAsia" w:ascii="Arial" w:hAnsi="Arial" w:cs="Arial"/>
                      <w:b/>
                      <w:sz w:val="18"/>
                      <w:lang w:eastAsia="zh-CN"/>
                    </w:rPr>
                    <w:t>or sub-block edge inside a sub-block gap</w:t>
                  </w: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 xml:space="preserve"> (kHz)</w:t>
                  </w:r>
                </w:p>
              </w:tc>
              <w:tc>
                <w:tcPr>
                  <w:tcW w:w="2471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Type of interfering signal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67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200</w:t>
                  </w:r>
                </w:p>
              </w:tc>
              <w:tc>
                <w:tcPr>
                  <w:tcW w:w="1935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P</w:t>
                  </w:r>
                  <w:r>
                    <w:rPr>
                      <w:rFonts w:ascii="Arial" w:hAnsi="Arial" w:cs="Arial"/>
                      <w:sz w:val="18"/>
                      <w:vertAlign w:val="subscript"/>
                      <w:lang w:eastAsia="ja-JP"/>
                    </w:rPr>
                    <w:t>REFSENS</w:t>
                  </w:r>
                  <w:r>
                    <w:rPr>
                      <w:rFonts w:ascii="Arial" w:hAnsi="Arial" w:cs="Arial"/>
                      <w:sz w:val="18"/>
                      <w:lang w:eastAsia="ja-JP"/>
                    </w:rPr>
                    <w:t xml:space="preserve"> + 19.5dB </w:t>
                  </w:r>
                  <w:r>
                    <w:rPr>
                      <w:rFonts w:ascii="Arial" w:hAnsi="Arial" w:cs="Arial"/>
                      <w:sz w:val="18"/>
                      <w:lang w:eastAsia="zh-CN"/>
                    </w:rPr>
                    <w:t>(Note)</w:t>
                  </w:r>
                </w:p>
              </w:tc>
              <w:tc>
                <w:tcPr>
                  <w:tcW w:w="1434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 xml:space="preserve">LEO SAN class: </w:t>
                  </w:r>
                  <w:r>
                    <w:rPr>
                      <w:rFonts w:ascii="Arial" w:hAnsi="Arial" w:cs="Arial"/>
                      <w:sz w:val="18"/>
                      <w:lang w:val="en-US" w:eastAsia="ja-JP" w:bidi="ar"/>
                    </w:rPr>
                    <w:t>-85.5</w:t>
                  </w:r>
                </w:p>
              </w:tc>
              <w:tc>
                <w:tcPr>
                  <w:tcW w:w="2324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±100</w:t>
                  </w:r>
                </w:p>
              </w:tc>
              <w:tc>
                <w:tcPr>
                  <w:tcW w:w="2471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180 kHz NB-IoT signal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631" w:type="dxa"/>
                  <w:gridSpan w:val="5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Note:</w:t>
                  </w:r>
                  <w:r>
                    <w:rPr>
                      <w:rFonts w:ascii="Arial" w:hAnsi="Arial" w:cs="Arial"/>
                      <w:sz w:val="18"/>
                      <w:lang w:eastAsia="ja-JP"/>
                    </w:rPr>
                    <w:tab/>
                  </w: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P</w:t>
                  </w:r>
                  <w:r>
                    <w:rPr>
                      <w:rFonts w:ascii="Arial" w:hAnsi="Arial" w:cs="Arial"/>
                      <w:sz w:val="18"/>
                      <w:vertAlign w:val="subscript"/>
                      <w:lang w:eastAsia="ja-JP"/>
                    </w:rPr>
                    <w:t>REFSENS</w:t>
                  </w:r>
                  <w:r>
                    <w:rPr>
                      <w:rFonts w:ascii="Arial" w:hAnsi="Arial" w:cs="Arial"/>
                      <w:sz w:val="18"/>
                      <w:lang w:eastAsia="ja-JP"/>
                    </w:rPr>
                    <w:t xml:space="preserve"> depends on the sub-carrier spacing as specified in </w:t>
                  </w:r>
                  <w:r>
                    <w:rPr>
                      <w:rFonts w:ascii="Arial" w:hAnsi="Arial" w:eastAsia="Osaka" w:cs="v5.0.0"/>
                      <w:sz w:val="18"/>
                      <w:lang w:eastAsia="en-GB"/>
                    </w:rPr>
                    <w:t>Table 7.2.</w:t>
                  </w:r>
                  <w:r>
                    <w:rPr>
                      <w:rFonts w:hint="eastAsia" w:ascii="Arial" w:hAnsi="Arial" w:eastAsia="宋体" w:cs="v5.0.0"/>
                      <w:sz w:val="18"/>
                      <w:lang w:val="en-US" w:eastAsia="zh-CN"/>
                    </w:rPr>
                    <w:t>2</w:t>
                  </w:r>
                  <w:r>
                    <w:rPr>
                      <w:rFonts w:ascii="Arial" w:hAnsi="Arial" w:eastAsia="Osaka" w:cs="v5.0.0"/>
                      <w:sz w:val="18"/>
                      <w:lang w:eastAsia="en-GB"/>
                    </w:rPr>
                    <w:t>-</w:t>
                  </w:r>
                  <w:r>
                    <w:rPr>
                      <w:rFonts w:ascii="Arial" w:hAnsi="Arial" w:eastAsia="宋体" w:cs="v5.0.0"/>
                      <w:sz w:val="18"/>
                      <w:lang w:val="en-US" w:eastAsia="zh-CN"/>
                    </w:rPr>
                    <w:t>5</w:t>
                  </w:r>
                  <w:r>
                    <w:rPr>
                      <w:rFonts w:ascii="Arial" w:hAnsi="Arial" w:eastAsia="Osaka" w:cs="v5.0.0"/>
                      <w:sz w:val="18"/>
                      <w:lang w:eastAsia="en-GB"/>
                    </w:rPr>
                    <w:t>.</w:t>
                  </w:r>
                </w:p>
              </w:tc>
            </w:tr>
          </w:tbl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7.4.2 In-band blocking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7.5 Out-of-band blocking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7.6 Receiver spurious emissions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7.7 Receiver intermodulation</w:t>
            </w:r>
          </w:p>
        </w:tc>
        <w:tc>
          <w:tcPr>
            <w:tcW w:w="6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7.8 In-channel selectivity</w:t>
            </w:r>
          </w:p>
        </w:tc>
        <w:tc>
          <w:tcPr>
            <w:tcW w:w="6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jc w:val="center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2.4 Radiated Tx requirements for NTN IoT-NTN TDD band 249</w:t>
      </w:r>
    </w:p>
    <w:tbl>
      <w:tblPr>
        <w:tblStyle w:val="24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145"/>
        <w:gridCol w:w="665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Calibri" w:hAnsi="Calibri" w:eastAsia="Times New Roman" w:cs="Calibri"/>
                <w:b/>
                <w:bCs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eastAsia="PMingLiU"/>
                <w:b/>
                <w:kern w:val="2"/>
                <w:sz w:val="18"/>
                <w:szCs w:val="18"/>
                <w:lang w:eastAsia="zh-CN"/>
              </w:rPr>
              <w:t>Requirements</w:t>
            </w:r>
            <w:r>
              <w:rPr>
                <w:rFonts w:hint="eastAsia" w:eastAsia="PMingLiU"/>
                <w:b/>
                <w:kern w:val="2"/>
                <w:sz w:val="18"/>
                <w:szCs w:val="18"/>
                <w:lang w:val="en-US" w:eastAsia="zh-CN"/>
              </w:rPr>
              <w:t xml:space="preserve"> in TS 38.181</w:t>
            </w:r>
          </w:p>
        </w:tc>
        <w:tc>
          <w:tcPr>
            <w:tcW w:w="6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b/>
                <w:kern w:val="2"/>
                <w:sz w:val="18"/>
                <w:szCs w:val="18"/>
                <w:lang w:eastAsia="zh-CN"/>
              </w:rPr>
              <w:t>Expected impact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numPr>
                <w:ilvl w:val="0"/>
                <w:numId w:val="0"/>
              </w:numPr>
              <w:spacing w:after="0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9 Radiated transmitter characteristics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8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ascii="Times New Roman" w:hAnsi="Times New Roman" w:cs="Times New Roman"/>
                <w:sz w:val="20"/>
                <w:szCs w:val="20"/>
                <w:lang w:val="en-US" w:eastAsia="fi-FI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9.1 General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160" w:line="259" w:lineRule="auto"/>
              <w:rPr>
                <w:rFonts w:eastAsia="Times New Roman"/>
                <w:strike/>
                <w:color w:val="000000"/>
                <w:sz w:val="20"/>
                <w:szCs w:val="20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8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9.2 Radiated transmit power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9.3 OTA SAN output power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9.4 OTA output power dynamics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9.5 OTA transmit ON/OFF power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ascii="Times New Roman" w:hAnsi="Times New Roman" w:eastAsia="Times New Roman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eed to update OTA transmit ON/OFF power requirement for NB-IoT TDD SAN.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9.6 OTA transmitted signal quality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ascii="Times New Roman" w:hAnsi="Times New Roman" w:eastAsia="Times New Roman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9.7 OTA unwanted emissions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ascii="Times New Roman" w:hAnsi="Times New Roman" w:eastAsia="宋体" w:cs="Times New Roman"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9.8 OTA transmitter intermodulation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jc w:val="center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2.5 Radiated Rx requirements for NTN IoT-NTN TDD band 249</w:t>
      </w:r>
    </w:p>
    <w:tbl>
      <w:tblPr>
        <w:tblStyle w:val="24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606"/>
        <w:gridCol w:w="7194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Calibri" w:hAnsi="Calibri" w:eastAsia="Times New Roman" w:cs="Calibri"/>
                <w:b/>
                <w:bCs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eastAsia="PMingLiU"/>
                <w:b/>
                <w:kern w:val="2"/>
                <w:sz w:val="18"/>
                <w:szCs w:val="18"/>
                <w:lang w:eastAsia="zh-CN"/>
              </w:rPr>
              <w:t>Requirements</w:t>
            </w:r>
            <w:r>
              <w:rPr>
                <w:rFonts w:hint="eastAsia" w:eastAsia="PMingLiU"/>
                <w:b/>
                <w:kern w:val="2"/>
                <w:sz w:val="18"/>
                <w:szCs w:val="18"/>
                <w:lang w:val="en-US" w:eastAsia="zh-CN"/>
              </w:rPr>
              <w:t xml:space="preserve"> in TS 38.181</w:t>
            </w:r>
          </w:p>
        </w:tc>
        <w:tc>
          <w:tcPr>
            <w:tcW w:w="6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b/>
                <w:kern w:val="2"/>
                <w:sz w:val="18"/>
                <w:szCs w:val="18"/>
                <w:lang w:eastAsia="zh-CN"/>
              </w:rPr>
              <w:t>Expected impact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numPr>
                <w:ilvl w:val="0"/>
                <w:numId w:val="0"/>
              </w:numPr>
              <w:spacing w:after="0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10 Radiated receiver characteristics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ascii="Times New Roman" w:hAnsi="Times New Roman" w:cs="Times New Roman"/>
                <w:sz w:val="20"/>
                <w:szCs w:val="20"/>
                <w:lang w:val="en-US" w:eastAsia="fi-FI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10.1 General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160" w:line="259" w:lineRule="auto"/>
              <w:rPr>
                <w:rFonts w:hint="default" w:eastAsia="Times New Roman"/>
                <w:strike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10.2 OTA sensitivity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eed to add the following OTA sensitivity requirement for IoT-NTN TDD band.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Table10.</w:t>
            </w:r>
            <w:r>
              <w:rPr>
                <w:rFonts w:hint="eastAsia" w:ascii="Arial" w:hAnsi="Arial"/>
                <w:b/>
                <w:lang w:val="en-US" w:eastAsia="zh-CN"/>
              </w:rPr>
              <w:t>2.5</w:t>
            </w:r>
            <w:r>
              <w:rPr>
                <w:rFonts w:ascii="Arial" w:hAnsi="Arial"/>
                <w:b/>
                <w:lang w:eastAsia="en-GB"/>
              </w:rPr>
              <w:t>-</w:t>
            </w:r>
            <w:r>
              <w:rPr>
                <w:rFonts w:hint="eastAsia" w:ascii="Arial" w:hAnsi="Arial"/>
                <w:b/>
                <w:lang w:val="en-US" w:eastAsia="zh-CN"/>
              </w:rPr>
              <w:t>3</w:t>
            </w:r>
            <w:r>
              <w:rPr>
                <w:rFonts w:ascii="Arial" w:hAnsi="Arial"/>
                <w:b/>
                <w:lang w:eastAsia="en-GB"/>
              </w:rPr>
              <w:t xml:space="preserve">: </w:t>
            </w:r>
            <w:r>
              <w:rPr>
                <w:rFonts w:hint="eastAsia" w:ascii="Arial" w:hAnsi="Arial"/>
                <w:b/>
                <w:lang w:val="en-US" w:eastAsia="zh-CN"/>
              </w:rPr>
              <w:t>SAN LEO class EIS levels for standalone NB-IoT operation and NB-IoT operation in NTN NR in-band</w:t>
            </w:r>
          </w:p>
          <w:tbl>
            <w:tblPr>
              <w:tblStyle w:val="24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40"/>
              <w:gridCol w:w="1539"/>
              <w:gridCol w:w="1849"/>
              <w:gridCol w:w="167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40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zh-CN"/>
                    </w:rPr>
                    <w:t>SAN</w:t>
                  </w:r>
                  <w:r>
                    <w:rPr>
                      <w:rFonts w:ascii="Arial" w:hAnsi="Arial" w:cs="Arial"/>
                      <w:b/>
                      <w:sz w:val="18"/>
                      <w:lang w:eastAsia="en-GB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  <w:t>channel bandwidth (kHz)</w:t>
                  </w:r>
                </w:p>
              </w:tc>
              <w:tc>
                <w:tcPr>
                  <w:tcW w:w="1539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Sub-carrier spacing</w:t>
                  </w:r>
                </w:p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  <w:t>(kHz)</w:t>
                  </w:r>
                </w:p>
              </w:tc>
              <w:tc>
                <w:tcPr>
                  <w:tcW w:w="1849" w:type="dxa"/>
                  <w:vAlign w:val="top"/>
                </w:tcPr>
                <w:p>
                  <w:pPr>
                    <w:pStyle w:val="66"/>
                  </w:pPr>
                  <w:r>
                    <w:t>Reference measurement channel</w:t>
                  </w:r>
                </w:p>
                <w:p>
                  <w:pPr>
                    <w:pStyle w:val="66"/>
                  </w:pPr>
                  <w:r>
                    <w:t>(NOTE)</w:t>
                  </w:r>
                </w:p>
                <w:p>
                  <w:pPr>
                    <w:pStyle w:val="66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</w:p>
              </w:tc>
              <w:tc>
                <w:tcPr>
                  <w:tcW w:w="1677" w:type="dxa"/>
                  <w:vAlign w:val="top"/>
                </w:tcPr>
                <w:p>
                  <w:pPr>
                    <w:pStyle w:val="66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t>OTA sensitivity level,</w:t>
                  </w:r>
                  <w:r>
                    <w:rPr>
                      <w:bCs/>
                      <w:szCs w:val="18"/>
                    </w:rPr>
                    <w:t xml:space="preserve"> EIS</w:t>
                  </w:r>
                  <w:r>
                    <w:t xml:space="preserve"> (dBm)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40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200</w:t>
                  </w:r>
                </w:p>
              </w:tc>
              <w:tc>
                <w:tcPr>
                  <w:tcW w:w="1539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15</w:t>
                  </w:r>
                </w:p>
              </w:tc>
              <w:tc>
                <w:tcPr>
                  <w:tcW w:w="1849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A14-3 in Annex A.14</w:t>
                  </w:r>
                </w:p>
              </w:tc>
              <w:tc>
                <w:tcPr>
                  <w:tcW w:w="1677" w:type="dxa"/>
                  <w:vAlign w:val="center"/>
                </w:tcPr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topLinePunct w:val="0"/>
                    <w:bidi w:val="0"/>
                    <w:snapToGrid/>
                    <w:spacing w:beforeLines="0" w:afterLines="0" w:line="260" w:lineRule="auto"/>
                    <w:rPr>
                      <w:rFonts w:hint="default" w:ascii="Arial" w:hAnsi="Arial" w:cs="Arial"/>
                      <w:sz w:val="18"/>
                      <w:szCs w:val="18"/>
                    </w:rPr>
                  </w:pPr>
                  <w:r>
                    <w:rPr>
                      <w:rFonts w:hint="default" w:ascii="Arial" w:hAnsi="Arial" w:cs="Arial"/>
                      <w:sz w:val="18"/>
                      <w:szCs w:val="18"/>
                    </w:rPr>
                    <w:t>Declared</w:t>
                  </w:r>
                </w:p>
                <w:p>
                  <w:pPr>
                    <w:pStyle w:val="58"/>
                    <w:keepNext/>
                    <w:keepLines/>
                    <w:pageBreakBefore w:val="0"/>
                    <w:widowControl/>
                    <w:kinsoku/>
                    <w:wordWrap/>
                    <w:topLinePunct w:val="0"/>
                    <w:bidi w:val="0"/>
                    <w:snapToGrid/>
                    <w:spacing w:beforeLines="0" w:afterLines="0" w:line="260" w:lineRule="auto"/>
                    <w:rPr>
                      <w:rFonts w:hint="default" w:ascii="Arial" w:hAnsi="Arial" w:cs="Arial"/>
                      <w:sz w:val="18"/>
                      <w:szCs w:val="18"/>
                    </w:rPr>
                  </w:pPr>
                  <w:r>
                    <w:rPr>
                      <w:rFonts w:hint="default" w:ascii="Arial" w:hAnsi="Arial" w:cs="Arial"/>
                      <w:sz w:val="18"/>
                      <w:szCs w:val="18"/>
                    </w:rPr>
                    <w:t>minimum EIS</w:t>
                  </w:r>
                </w:p>
                <w:p>
                  <w:pPr>
                    <w:keepNext/>
                    <w:keepLines/>
                    <w:pageBreakBefore w:val="0"/>
                    <w:widowControl/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 w:val="0"/>
                    <w:snapToGrid/>
                    <w:spacing w:beforeLines="0" w:after="0" w:afterLines="0" w:line="260" w:lineRule="auto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val="en-US" w:eastAsia="ja-JP"/>
                    </w:rPr>
                  </w:pPr>
                  <w:r>
                    <w:rPr>
                      <w:rFonts w:hint="default" w:ascii="Arial" w:hAnsi="Arial" w:cs="Arial"/>
                      <w:sz w:val="18"/>
                      <w:szCs w:val="18"/>
                    </w:rPr>
                    <w:t>+ 1.6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505" w:type="dxa"/>
                  <w:gridSpan w:val="4"/>
                  <w:vAlign w:val="center"/>
                </w:tcPr>
                <w:p>
                  <w:pPr>
                    <w:pStyle w:val="71"/>
                    <w:ind w:left="851" w:leftChars="0" w:hanging="851" w:firstLineChars="0"/>
                    <w:rPr>
                      <w:rFonts w:ascii="Arial" w:hAnsi="Arial" w:eastAsia="宋体" w:cs="Times New Roman"/>
                      <w:kern w:val="2"/>
                      <w:sz w:val="18"/>
                      <w:lang w:val="en-US" w:eastAsia="ja-JP" w:bidi="ar-SA"/>
                    </w:rPr>
                  </w:pPr>
                  <w:r>
                    <w:t>NOTE:</w:t>
                  </w:r>
                  <w:r>
                    <w:tab/>
                  </w:r>
                  <w:r>
                    <w:rPr>
                      <w:rFonts w:hint="eastAsia"/>
                      <w:lang w:eastAsia="zh-CN"/>
                    </w:rPr>
                    <w:t>EIS</w:t>
                  </w:r>
                  <w:r>
    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    </w:r>
                  <w:r>
                    <w:rPr>
                      <w:lang w:eastAsia="ko-KR"/>
                    </w:rPr>
                    <w:t xml:space="preserve">, except for one instance that might overlap one other instance to cover the full </w:t>
                  </w:r>
                  <w:r>
                    <w:rPr>
                      <w:rFonts w:hint="eastAsia"/>
                      <w:i/>
                      <w:lang w:eastAsia="zh-CN"/>
                    </w:rPr>
                    <w:t>SAN</w:t>
                  </w:r>
                  <w:r>
                    <w:rPr>
                      <w:i/>
                      <w:lang w:eastAsia="ko-KR"/>
                    </w:rPr>
                    <w:t xml:space="preserve"> channel bandwidth</w:t>
                  </w:r>
                  <w:r>
                    <w:rPr>
                      <w:lang w:eastAsia="ko-KR"/>
                    </w:rPr>
                    <w:t>.</w:t>
                  </w:r>
                </w:p>
              </w:tc>
            </w:tr>
          </w:tbl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10.3 OTA reference sensitivity level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eed to add the following OTA reference sensitivity level requirement for IoT-NTN TDD band.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Table10.3.</w:t>
            </w:r>
            <w:r>
              <w:rPr>
                <w:rFonts w:hint="eastAsia" w:ascii="Arial" w:hAnsi="Arial"/>
                <w:b/>
                <w:lang w:val="en-US" w:eastAsia="zh-CN"/>
              </w:rPr>
              <w:t>5</w:t>
            </w:r>
            <w:r>
              <w:rPr>
                <w:rFonts w:ascii="Arial" w:hAnsi="Arial"/>
                <w:b/>
                <w:lang w:eastAsia="en-GB"/>
              </w:rPr>
              <w:t>-</w:t>
            </w:r>
            <w:r>
              <w:rPr>
                <w:rFonts w:hint="eastAsia" w:ascii="Arial" w:hAnsi="Arial"/>
                <w:b/>
                <w:lang w:val="en-US" w:eastAsia="zh-CN"/>
              </w:rPr>
              <w:t>5</w:t>
            </w:r>
            <w:r>
              <w:rPr>
                <w:rFonts w:ascii="Arial" w:hAnsi="Arial"/>
                <w:b/>
                <w:lang w:eastAsia="en-GB"/>
              </w:rPr>
              <w:t xml:space="preserve">: </w:t>
            </w:r>
            <w:r>
              <w:rPr>
                <w:rFonts w:hint="eastAsia" w:ascii="Arial" w:hAnsi="Arial"/>
                <w:b/>
                <w:lang w:val="en-US" w:eastAsia="zh-CN"/>
              </w:rPr>
              <w:t>R</w:t>
            </w:r>
            <w:r>
              <w:rPr>
                <w:rFonts w:ascii="Arial" w:hAnsi="Arial"/>
                <w:b/>
                <w:lang w:eastAsia="en-GB"/>
              </w:rPr>
              <w:t>eference sensitivity levels</w:t>
            </w:r>
            <w:r>
              <w:rPr>
                <w:rFonts w:hint="eastAsia" w:ascii="Arial" w:hAnsi="Arial"/>
                <w:b/>
                <w:lang w:val="en-US" w:eastAsia="zh-CN"/>
              </w:rPr>
              <w:t xml:space="preserve"> of SAN supporting </w:t>
            </w:r>
            <w:r>
              <w:rPr>
                <w:rFonts w:ascii="Arial" w:hAnsi="Arial" w:cs="v5.0.0"/>
                <w:b/>
                <w:lang w:eastAsia="en-GB"/>
              </w:rPr>
              <w:t>standalone NB-IoT operation</w:t>
            </w:r>
            <w:r>
              <w:rPr>
                <w:rFonts w:hint="eastAsia" w:ascii="Arial" w:hAnsi="Arial"/>
                <w:b/>
                <w:lang w:eastAsia="zh-CN"/>
              </w:rPr>
              <w:t xml:space="preserve"> </w:t>
            </w:r>
            <w:r>
              <w:rPr>
                <w:rFonts w:ascii="Arial" w:hAnsi="Arial" w:cs="v5.0.0"/>
                <w:b/>
                <w:lang w:eastAsia="en-GB"/>
              </w:rPr>
              <w:t>and NB-IoT operation in NTN NR in-band</w:t>
            </w:r>
            <w:r>
              <w:rPr>
                <w:rFonts w:hint="eastAsia" w:ascii="Arial" w:hAnsi="Arial"/>
                <w:b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lang w:eastAsia="zh-CN"/>
              </w:rPr>
              <w:t xml:space="preserve">for </w:t>
            </w:r>
            <w:r>
              <w:rPr>
                <w:rFonts w:hint="eastAsia" w:ascii="Arial" w:hAnsi="Arial"/>
                <w:b/>
                <w:lang w:val="en-US" w:eastAsia="zh-CN"/>
              </w:rPr>
              <w:t>T</w:t>
            </w:r>
            <w:r>
              <w:rPr>
                <w:rFonts w:ascii="Arial" w:hAnsi="Arial"/>
                <w:b/>
                <w:lang w:eastAsia="zh-CN"/>
              </w:rPr>
              <w:t xml:space="preserve">DD frequency bands </w:t>
            </w:r>
            <w:r>
              <w:rPr>
                <w:rFonts w:hint="eastAsia" w:ascii="Arial" w:hAnsi="Arial"/>
                <w:b/>
                <w:lang w:eastAsia="zh-CN"/>
              </w:rPr>
              <w:t>(</w:t>
            </w:r>
            <w:r>
              <w:rPr>
                <w:rFonts w:hint="eastAsia" w:ascii="Arial" w:hAnsi="Arial"/>
                <w:b/>
                <w:lang w:val="en-US" w:eastAsia="zh-CN"/>
              </w:rPr>
              <w:t>L</w:t>
            </w:r>
            <w:r>
              <w:rPr>
                <w:rFonts w:hint="eastAsia" w:ascii="Arial" w:hAnsi="Arial"/>
                <w:b/>
                <w:lang w:eastAsia="zh-CN"/>
              </w:rPr>
              <w:t xml:space="preserve">EO </w:t>
            </w:r>
            <w:r>
              <w:rPr>
                <w:rFonts w:ascii="Arial" w:hAnsi="Arial"/>
                <w:b/>
                <w:lang w:eastAsia="zh-CN"/>
              </w:rPr>
              <w:t xml:space="preserve">class </w:t>
            </w:r>
            <w:r>
              <w:rPr>
                <w:rFonts w:hint="eastAsia" w:ascii="Arial" w:hAnsi="Arial"/>
                <w:b/>
                <w:lang w:eastAsia="zh-CN"/>
              </w:rPr>
              <w:t>payload)</w:t>
            </w:r>
          </w:p>
          <w:tbl>
            <w:tblPr>
              <w:tblStyle w:val="24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1"/>
              <w:gridCol w:w="1653"/>
              <w:gridCol w:w="1994"/>
              <w:gridCol w:w="185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029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zh-CN"/>
                    </w:rPr>
                    <w:t>SAN</w:t>
                  </w:r>
                  <w:r>
                    <w:rPr>
                      <w:rFonts w:ascii="Arial" w:hAnsi="Arial" w:cs="Arial"/>
                      <w:b/>
                      <w:sz w:val="18"/>
                      <w:lang w:eastAsia="en-GB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  <w:t>channel bandwidth (kHz)</w:t>
                  </w:r>
                </w:p>
              </w:tc>
              <w:tc>
                <w:tcPr>
                  <w:tcW w:w="2198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Sub-carrier spacing</w:t>
                  </w:r>
                </w:p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  <w:t>(kHz)</w:t>
                  </w:r>
                </w:p>
              </w:tc>
              <w:tc>
                <w:tcPr>
                  <w:tcW w:w="2691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Reference measurement channel</w:t>
                  </w:r>
                </w:p>
              </w:tc>
              <w:tc>
                <w:tcPr>
                  <w:tcW w:w="2711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 xml:space="preserve"> Reference sensitivity power level, 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EIS</w:t>
                  </w:r>
                  <w:r>
                    <w:rPr>
                      <w:rFonts w:ascii="Arial" w:hAnsi="Arial"/>
                      <w:b/>
                      <w:sz w:val="18"/>
                      <w:vertAlign w:val="subscript"/>
                      <w:lang w:eastAsia="zh-CN"/>
                    </w:rPr>
                    <w:t>REFSENS</w:t>
                  </w:r>
                </w:p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 xml:space="preserve"> (dBm)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029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200</w:t>
                  </w:r>
                </w:p>
              </w:tc>
              <w:tc>
                <w:tcPr>
                  <w:tcW w:w="2198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15</w:t>
                  </w:r>
                </w:p>
              </w:tc>
              <w:tc>
                <w:tcPr>
                  <w:tcW w:w="2691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FRC A14-3 in Annex A.14</w:t>
                  </w:r>
                </w:p>
              </w:tc>
              <w:tc>
                <w:tcPr>
                  <w:tcW w:w="2711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val="en-US" w:eastAsia="ja-JP" w:bidi="ar"/>
                    </w:rPr>
                    <w:t>-12</w:t>
                  </w:r>
                  <w:r>
                    <w:rPr>
                      <w:rFonts w:hint="eastAsia" w:ascii="Arial" w:hAnsi="Arial" w:cs="Arial"/>
                      <w:sz w:val="18"/>
                      <w:lang w:val="en-US" w:eastAsia="zh-CN" w:bidi="ar"/>
                    </w:rPr>
                    <w:t xml:space="preserve">5.8 </w:t>
                  </w:r>
                  <w:r>
                    <w:rPr>
                      <w:rFonts w:ascii="Arial" w:hAnsi="Arial" w:cs="Arial"/>
                      <w:sz w:val="18"/>
                      <w:lang w:eastAsia="en-GB"/>
                    </w:rPr>
                    <w:t>- Δ</w:t>
                  </w:r>
                  <w:r>
                    <w:rPr>
                      <w:rFonts w:ascii="Arial" w:hAnsi="Arial" w:cs="Arial"/>
                      <w:sz w:val="18"/>
                      <w:vertAlign w:val="subscript"/>
                      <w:lang w:eastAsia="en-GB"/>
                    </w:rPr>
                    <w:t>OTAREFSENS</w:t>
                  </w:r>
                </w:p>
              </w:tc>
            </w:tr>
          </w:tbl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10.4 OTA dynamic range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eed to add the following dynamic range requirement for IoT-NTN TDD band.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eastAsia="Osaka"/>
                <w:b/>
                <w:lang w:eastAsia="en-GB"/>
              </w:rPr>
            </w:pPr>
            <w:r>
              <w:rPr>
                <w:rFonts w:ascii="Arial" w:hAnsi="Arial" w:eastAsia="Osaka"/>
                <w:b/>
                <w:lang w:eastAsia="en-GB"/>
              </w:rPr>
              <w:t xml:space="preserve">Table </w:t>
            </w:r>
            <w:r>
              <w:rPr>
                <w:rFonts w:hint="eastAsia" w:ascii="Arial" w:hAnsi="Arial"/>
                <w:b/>
                <w:lang w:val="en-US" w:eastAsia="zh-CN"/>
              </w:rPr>
              <w:t>10</w:t>
            </w:r>
            <w:r>
              <w:rPr>
                <w:rFonts w:ascii="Arial" w:hAnsi="Arial"/>
                <w:b/>
                <w:lang w:eastAsia="en-GB"/>
              </w:rPr>
              <w:t>.</w:t>
            </w:r>
            <w:r>
              <w:rPr>
                <w:rFonts w:hint="eastAsia" w:ascii="Arial" w:hAnsi="Arial"/>
                <w:b/>
                <w:lang w:val="en-US" w:eastAsia="zh-CN"/>
              </w:rPr>
              <w:t>4</w:t>
            </w:r>
            <w:r>
              <w:rPr>
                <w:rFonts w:ascii="Arial" w:hAnsi="Arial"/>
                <w:b/>
                <w:lang w:eastAsia="en-GB"/>
              </w:rPr>
              <w:t>.</w:t>
            </w:r>
            <w:r>
              <w:rPr>
                <w:rFonts w:hint="eastAsia" w:ascii="Arial" w:hAnsi="Arial"/>
                <w:b/>
                <w:lang w:val="en-US" w:eastAsia="zh-CN"/>
              </w:rPr>
              <w:t>5.</w:t>
            </w:r>
            <w:r>
              <w:rPr>
                <w:rFonts w:ascii="Arial" w:hAnsi="Arial"/>
                <w:b/>
                <w:lang w:eastAsia="en-GB"/>
              </w:rPr>
              <w:t>2-</w:t>
            </w:r>
            <w:r>
              <w:rPr>
                <w:rFonts w:hint="eastAsia" w:ascii="Arial" w:hAnsi="Arial"/>
                <w:b/>
                <w:lang w:val="en-US" w:eastAsia="zh-CN"/>
              </w:rPr>
              <w:t>4</w:t>
            </w:r>
            <w:r>
              <w:rPr>
                <w:rFonts w:ascii="Arial" w:hAnsi="Arial" w:eastAsia="Osaka"/>
                <w:b/>
                <w:lang w:eastAsia="en-GB"/>
              </w:rPr>
              <w:t>:</w:t>
            </w:r>
            <w:r>
              <w:rPr>
                <w:rFonts w:ascii="Arial" w:hAnsi="Arial"/>
                <w:b/>
                <w:lang w:eastAsia="zh-CN"/>
              </w:rPr>
              <w:t xml:space="preserve"> </w:t>
            </w:r>
            <w:r>
              <w:rPr>
                <w:rFonts w:hint="eastAsia" w:ascii="Arial" w:hAnsi="Arial"/>
                <w:b/>
                <w:lang w:val="en-US" w:eastAsia="zh-CN"/>
              </w:rPr>
              <w:t>D</w:t>
            </w:r>
            <w:r>
              <w:rPr>
                <w:rFonts w:ascii="Arial" w:hAnsi="Arial"/>
                <w:b/>
                <w:lang w:eastAsia="en-GB"/>
              </w:rPr>
              <w:t>ynamic range</w:t>
            </w:r>
            <w:r>
              <w:rPr>
                <w:rFonts w:ascii="Arial" w:hAnsi="Arial"/>
                <w:b/>
                <w:lang w:val="en-US" w:eastAsia="en-GB"/>
              </w:rPr>
              <w:t xml:space="preserve"> </w:t>
            </w:r>
            <w:r>
              <w:rPr>
                <w:rFonts w:hint="eastAsia" w:ascii="Arial" w:hAnsi="Arial"/>
                <w:b/>
                <w:lang w:val="en-US" w:eastAsia="zh-CN"/>
              </w:rPr>
              <w:t xml:space="preserve">of SAN supporting </w:t>
            </w:r>
            <w:r>
              <w:rPr>
                <w:rFonts w:hint="eastAsia" w:ascii="Arial" w:hAnsi="Arial" w:eastAsia="宋体"/>
                <w:b/>
                <w:lang w:val="en-US" w:eastAsia="zh-CN"/>
              </w:rPr>
              <w:t xml:space="preserve">standalone </w:t>
            </w:r>
            <w:r>
              <w:rPr>
                <w:rFonts w:ascii="Arial" w:hAnsi="Arial" w:eastAsia="宋体"/>
                <w:b/>
                <w:lang w:eastAsia="zh-CN"/>
              </w:rPr>
              <w:t>NB-IoT</w:t>
            </w:r>
            <w:r>
              <w:rPr>
                <w:rFonts w:hint="eastAsia" w:ascii="Arial" w:hAnsi="Arial" w:eastAsia="宋体"/>
                <w:b/>
                <w:lang w:val="en-US" w:eastAsia="zh-CN"/>
              </w:rPr>
              <w:t xml:space="preserve"> operation</w:t>
            </w:r>
            <w:r>
              <w:rPr>
                <w:rFonts w:hint="eastAsia" w:ascii="Arial" w:hAnsi="Arial"/>
                <w:b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lang w:val="en-US" w:eastAsia="zh-CN"/>
              </w:rPr>
              <w:t xml:space="preserve">in TDD frequency bands </w:t>
            </w:r>
            <w:r>
              <w:rPr>
                <w:rFonts w:hint="eastAsia" w:ascii="Arial" w:hAnsi="Arial"/>
                <w:b/>
                <w:lang w:eastAsia="zh-CN"/>
              </w:rPr>
              <w:t xml:space="preserve">(LEO </w:t>
            </w:r>
            <w:r>
              <w:rPr>
                <w:rFonts w:ascii="Arial" w:hAnsi="Arial"/>
                <w:b/>
                <w:lang w:eastAsia="zh-CN"/>
              </w:rPr>
              <w:t xml:space="preserve">class </w:t>
            </w:r>
            <w:r>
              <w:rPr>
                <w:rFonts w:hint="eastAsia" w:ascii="Arial" w:hAnsi="Arial"/>
                <w:b/>
                <w:lang w:eastAsia="zh-CN"/>
              </w:rPr>
              <w:t>payload)</w:t>
            </w:r>
          </w:p>
          <w:tbl>
            <w:tblPr>
              <w:tblStyle w:val="24"/>
              <w:tblW w:w="7044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6"/>
              <w:gridCol w:w="1387"/>
              <w:gridCol w:w="1550"/>
              <w:gridCol w:w="1567"/>
              <w:gridCol w:w="14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16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zh-CN"/>
                    </w:rPr>
                    <w:t>SAN</w:t>
                  </w:r>
                  <w:r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  <w:t xml:space="preserve"> channel bandwidth (kHz)</w:t>
                  </w:r>
                </w:p>
              </w:tc>
              <w:tc>
                <w:tcPr>
                  <w:tcW w:w="1387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Reference measurement channel</w:t>
                  </w:r>
                </w:p>
              </w:tc>
              <w:tc>
                <w:tcPr>
                  <w:tcW w:w="1550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Wanted signal mean power (dBm)</w:t>
                  </w:r>
                </w:p>
              </w:tc>
              <w:tc>
                <w:tcPr>
                  <w:tcW w:w="1567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Interfering signal mean power (dBm) / BW</w:t>
                  </w:r>
                  <w:r>
                    <w:rPr>
                      <w:rFonts w:ascii="Arial" w:hAnsi="Arial" w:cs="Arial"/>
                      <w:b/>
                      <w:sz w:val="18"/>
                      <w:vertAlign w:val="subscript"/>
                      <w:lang w:eastAsia="ja-JP"/>
                    </w:rPr>
                    <w:t>Channel</w:t>
                  </w:r>
                </w:p>
              </w:tc>
              <w:tc>
                <w:tcPr>
                  <w:tcW w:w="1424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Type of interfering signal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16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hint="eastAsia" w:ascii="Arial" w:hAnsi="Arial" w:cs="Arial"/>
                      <w:sz w:val="18"/>
                      <w:lang w:eastAsia="ja-JP"/>
                    </w:rPr>
                    <w:t>200</w:t>
                  </w:r>
                </w:p>
              </w:tc>
              <w:tc>
                <w:tcPr>
                  <w:tcW w:w="1387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hint="eastAsia" w:ascii="Arial" w:hAnsi="Arial" w:cs="Arial"/>
                      <w:sz w:val="18"/>
                      <w:lang w:eastAsia="ja-JP"/>
                    </w:rPr>
                    <w:t>FRC A1</w:t>
                  </w: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5</w:t>
                  </w:r>
                  <w:r>
                    <w:rPr>
                      <w:rFonts w:hint="eastAsia" w:ascii="Arial" w:hAnsi="Arial" w:cs="Arial"/>
                      <w:sz w:val="18"/>
                      <w:lang w:eastAsia="ja-JP"/>
                    </w:rPr>
                    <w:t xml:space="preserve">-1 in </w:t>
                  </w:r>
                  <w:r>
                    <w:rPr>
                      <w:rFonts w:hint="eastAsia" w:ascii="Arial" w:hAnsi="Arial" w:cs="Arial"/>
                      <w:sz w:val="18"/>
                      <w:lang w:val="en-US" w:eastAsia="zh-CN"/>
                    </w:rPr>
                    <w:t>a</w:t>
                  </w:r>
                  <w:r>
                    <w:rPr>
                      <w:rFonts w:hint="eastAsia" w:ascii="Arial" w:hAnsi="Arial" w:cs="Arial"/>
                      <w:sz w:val="18"/>
                      <w:lang w:eastAsia="ja-JP"/>
                    </w:rPr>
                    <w:t>nnex A.1</w:t>
                  </w: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5</w:t>
                  </w:r>
                </w:p>
              </w:tc>
              <w:tc>
                <w:tcPr>
                  <w:tcW w:w="1550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sz w:val="18"/>
                      <w:lang w:val="en-US" w:eastAsia="zh-CN" w:bidi="ar"/>
                    </w:rPr>
                    <w:t>-105.1</w:t>
                  </w:r>
                  <w:r>
                    <w:rPr>
                      <w:rFonts w:hint="eastAsia" w:ascii="Arial" w:hAnsi="Arial" w:cs="v5.0.0"/>
                      <w:sz w:val="18"/>
                      <w:lang w:val="en-US" w:eastAsia="zh-CN"/>
                    </w:rPr>
                    <w:t xml:space="preserve"> </w:t>
                  </w:r>
                  <w:r>
                    <w:rPr>
                      <w:rFonts w:ascii="Arial" w:hAnsi="Arial" w:cs="v5.0.0"/>
                      <w:sz w:val="18"/>
                      <w:lang w:eastAsia="zh-CN"/>
                    </w:rPr>
                    <w:t>- Δ</w:t>
                  </w:r>
                  <w:r>
                    <w:rPr>
                      <w:rFonts w:ascii="Arial" w:hAnsi="Arial" w:cs="Arial"/>
                      <w:sz w:val="18"/>
                      <w:vertAlign w:val="subscript"/>
                      <w:lang w:eastAsia="en-GB"/>
                    </w:rPr>
                    <w:t>OTAREFSENS</w:t>
                  </w:r>
                </w:p>
              </w:tc>
              <w:tc>
                <w:tcPr>
                  <w:tcW w:w="1567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sz w:val="18"/>
                      <w:lang w:val="en-US" w:eastAsia="zh-CN" w:bidi="ar"/>
                    </w:rPr>
                    <w:t>-101.7</w:t>
                  </w:r>
                  <w:r>
                    <w:rPr>
                      <w:rFonts w:hint="eastAsia" w:ascii="Arial" w:hAnsi="Arial" w:cs="v5.0.0"/>
                      <w:sz w:val="18"/>
                      <w:lang w:val="en-US" w:eastAsia="zh-CN"/>
                    </w:rPr>
                    <w:t xml:space="preserve"> </w:t>
                  </w:r>
                  <w:r>
                    <w:rPr>
                      <w:rFonts w:ascii="Arial" w:hAnsi="Arial" w:cs="v5.0.0"/>
                      <w:sz w:val="18"/>
                      <w:lang w:eastAsia="zh-CN"/>
                    </w:rPr>
                    <w:t>- Δ</w:t>
                  </w:r>
                  <w:r>
                    <w:rPr>
                      <w:rFonts w:ascii="Arial" w:hAnsi="Arial" w:cs="Arial"/>
                      <w:sz w:val="18"/>
                      <w:vertAlign w:val="subscript"/>
                      <w:lang w:eastAsia="en-GB"/>
                    </w:rPr>
                    <w:t>OTAREFSENS</w:t>
                  </w:r>
                </w:p>
              </w:tc>
              <w:tc>
                <w:tcPr>
                  <w:tcW w:w="1424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AWGN</w:t>
                  </w:r>
                </w:p>
              </w:tc>
            </w:tr>
          </w:tbl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10.5 OTA in-band selectivity and blocking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eed to add the following ACS requirement for IoT-NTN TDD band.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eastAsia="宋体"/>
                <w:b/>
                <w:lang w:val="en-US" w:eastAsia="zh-CN"/>
              </w:rPr>
            </w:pPr>
            <w:r>
              <w:rPr>
                <w:rFonts w:ascii="Arial" w:hAnsi="Arial"/>
                <w:b/>
                <w:lang w:eastAsia="en-GB"/>
              </w:rPr>
              <w:t xml:space="preserve">Table </w:t>
            </w:r>
            <w:r>
              <w:rPr>
                <w:rFonts w:ascii="Arial" w:hAnsi="Arial"/>
                <w:b/>
                <w:lang w:eastAsia="zh-CN"/>
              </w:rPr>
              <w:t>10.5.1.</w:t>
            </w:r>
            <w:r>
              <w:rPr>
                <w:rFonts w:hint="eastAsia" w:ascii="Arial" w:hAnsi="Arial"/>
                <w:b/>
                <w:lang w:val="en-US" w:eastAsia="zh-CN"/>
              </w:rPr>
              <w:t>5</w:t>
            </w:r>
            <w:r>
              <w:rPr>
                <w:rFonts w:ascii="Arial" w:hAnsi="Arial"/>
                <w:b/>
                <w:lang w:eastAsia="en-GB"/>
              </w:rPr>
              <w:t>-</w:t>
            </w:r>
            <w:r>
              <w:rPr>
                <w:rFonts w:hint="eastAsia" w:ascii="Arial" w:hAnsi="Arial"/>
                <w:b/>
                <w:lang w:val="en-US" w:eastAsia="zh-CN"/>
              </w:rPr>
              <w:t>3</w:t>
            </w:r>
            <w:r>
              <w:rPr>
                <w:rFonts w:ascii="Arial" w:hAnsi="Arial"/>
                <w:b/>
                <w:lang w:eastAsia="en-GB"/>
              </w:rPr>
              <w:t>: A</w:t>
            </w:r>
            <w:r>
              <w:rPr>
                <w:rFonts w:ascii="Arial" w:hAnsi="Arial" w:eastAsia="宋体"/>
                <w:b/>
                <w:lang w:eastAsia="zh-CN"/>
              </w:rPr>
              <w:t>CS requirement</w:t>
            </w:r>
            <w:r>
              <w:rPr>
                <w:rFonts w:hint="eastAsia" w:ascii="Arial" w:hAnsi="Arial" w:eastAsia="宋体"/>
                <w:b/>
                <w:lang w:val="en-US" w:eastAsia="zh-CN"/>
              </w:rPr>
              <w:t xml:space="preserve"> of SAN supporting standalone </w:t>
            </w:r>
            <w:r>
              <w:rPr>
                <w:rFonts w:ascii="Arial" w:hAnsi="Arial" w:eastAsia="宋体"/>
                <w:b/>
                <w:lang w:eastAsia="zh-CN"/>
              </w:rPr>
              <w:t>NB-IoT</w:t>
            </w:r>
            <w:r>
              <w:rPr>
                <w:rFonts w:hint="eastAsia" w:ascii="Arial" w:hAnsi="Arial" w:eastAsia="宋体"/>
                <w:b/>
                <w:lang w:val="en-US" w:eastAsia="zh-CN"/>
              </w:rPr>
              <w:t xml:space="preserve"> operation</w:t>
            </w:r>
            <w:r>
              <w:rPr>
                <w:rFonts w:ascii="Arial" w:hAnsi="Arial" w:eastAsia="宋体"/>
                <w:b/>
                <w:lang w:val="en-US" w:eastAsia="zh-CN"/>
              </w:rPr>
              <w:t xml:space="preserve"> for TDD frequency bands</w:t>
            </w:r>
          </w:p>
          <w:tbl>
            <w:tblPr>
              <w:tblStyle w:val="24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67"/>
              <w:gridCol w:w="1666"/>
              <w:gridCol w:w="1164"/>
              <w:gridCol w:w="1416"/>
              <w:gridCol w:w="133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67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val="en-US" w:eastAsia="zh-CN"/>
                    </w:rPr>
                  </w:pPr>
                  <w:r>
                    <w:rPr>
                      <w:rFonts w:hint="eastAsia" w:ascii="Arial" w:hAnsi="Arial" w:cs="Arial"/>
                      <w:b/>
                      <w:sz w:val="18"/>
                      <w:lang w:val="en-US" w:eastAsia="zh-CN"/>
                    </w:rPr>
                    <w:t>SAN</w:t>
                  </w:r>
                </w:p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  <w:t xml:space="preserve">channel bandwidth </w:t>
                  </w: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 xml:space="preserve">of the lowest/highest carrier received </w:t>
                  </w:r>
                  <w:r>
                    <w:rPr>
                      <w:rFonts w:ascii="Arial" w:hAnsi="Arial" w:cs="Arial"/>
                      <w:b/>
                      <w:sz w:val="18"/>
                      <w:lang w:val="it-IT" w:eastAsia="ja-JP"/>
                    </w:rPr>
                    <w:t>(kHz)</w:t>
                  </w:r>
                </w:p>
              </w:tc>
              <w:tc>
                <w:tcPr>
                  <w:tcW w:w="1950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Wanted signal mean power (dBm)</w:t>
                  </w:r>
                </w:p>
              </w:tc>
              <w:tc>
                <w:tcPr>
                  <w:tcW w:w="1434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Interfering signal mean power (dBm)</w:t>
                  </w:r>
                </w:p>
              </w:tc>
              <w:tc>
                <w:tcPr>
                  <w:tcW w:w="2317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 xml:space="preserve">Interfering signal centre frequency offset </w:t>
                  </w:r>
                  <w:r>
                    <w:rPr>
                      <w:rFonts w:hint="eastAsia" w:ascii="Arial" w:hAnsi="Arial" w:cs="Arial"/>
                      <w:b/>
                      <w:sz w:val="18"/>
                      <w:lang w:eastAsia="zh-CN"/>
                    </w:rPr>
                    <w:t>to the lower</w:t>
                  </w:r>
                  <w:r>
                    <w:rPr>
                      <w:rFonts w:ascii="Arial" w:hAnsi="Arial" w:cs="Arial"/>
                      <w:b/>
                      <w:sz w:val="18"/>
                      <w:lang w:eastAsia="zh-CN"/>
                    </w:rPr>
                    <w:t>/</w:t>
                  </w:r>
                  <w:r>
                    <w:rPr>
                      <w:rFonts w:hint="eastAsia" w:ascii="Arial" w:hAnsi="Arial" w:cs="Arial"/>
                      <w:b/>
                      <w:sz w:val="18"/>
                      <w:lang w:eastAsia="zh-CN"/>
                    </w:rPr>
                    <w:t>upper</w:t>
                  </w: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 xml:space="preserve"> SAN RF Bandwidth edge </w:t>
                  </w:r>
                  <w:r>
                    <w:rPr>
                      <w:rFonts w:hint="eastAsia" w:ascii="Arial" w:hAnsi="Arial" w:cs="Arial"/>
                      <w:b/>
                      <w:sz w:val="18"/>
                      <w:lang w:eastAsia="zh-CN"/>
                    </w:rPr>
                    <w:t>or sub-block edge inside a sub-block gap</w:t>
                  </w: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 xml:space="preserve"> (kHz)</w:t>
                  </w:r>
                </w:p>
              </w:tc>
              <w:tc>
                <w:tcPr>
                  <w:tcW w:w="2463" w:type="dxa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eastAsia="ja-JP"/>
                    </w:rPr>
                    <w:t>Type of interfering signal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67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200</w:t>
                  </w:r>
                </w:p>
              </w:tc>
              <w:tc>
                <w:tcPr>
                  <w:tcW w:w="1950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P</w:t>
                  </w:r>
                  <w:r>
                    <w:rPr>
                      <w:rFonts w:ascii="Arial" w:hAnsi="Arial" w:cs="Arial"/>
                      <w:sz w:val="18"/>
                      <w:vertAlign w:val="subscript"/>
                      <w:lang w:eastAsia="ja-JP"/>
                    </w:rPr>
                    <w:t>REFSENS</w:t>
                  </w:r>
                  <w:r>
                    <w:rPr>
                      <w:rFonts w:ascii="Arial" w:hAnsi="Arial" w:cs="Arial"/>
                      <w:sz w:val="18"/>
                      <w:lang w:eastAsia="ja-JP"/>
                    </w:rPr>
                    <w:t xml:space="preserve"> + 19.5dB </w:t>
                  </w:r>
                  <w:r>
                    <w:rPr>
                      <w:rFonts w:ascii="Arial" w:hAnsi="Arial" w:cs="v5.0.0"/>
                      <w:sz w:val="18"/>
                      <w:lang w:eastAsia="zh-CN"/>
                    </w:rPr>
                    <w:t>- Δ</w:t>
                  </w:r>
                  <w:r>
                    <w:rPr>
                      <w:rFonts w:ascii="Arial" w:hAnsi="Arial" w:cs="Arial"/>
                      <w:sz w:val="18"/>
                      <w:vertAlign w:val="subscript"/>
                      <w:lang w:eastAsia="en-GB"/>
                    </w:rPr>
                    <w:t>OTAREFSENS</w:t>
                  </w:r>
                  <w:r>
                    <w:rPr>
                      <w:rFonts w:ascii="Arial" w:hAnsi="Arial" w:cs="Arial"/>
                      <w:sz w:val="18"/>
                      <w:lang w:eastAsia="zh-CN"/>
                    </w:rPr>
                    <w:t>(Note)</w:t>
                  </w:r>
                </w:p>
              </w:tc>
              <w:tc>
                <w:tcPr>
                  <w:tcW w:w="1434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 xml:space="preserve">LEO SAN class: </w:t>
                  </w:r>
                  <w:r>
                    <w:rPr>
                      <w:rFonts w:ascii="Arial" w:hAnsi="Arial" w:cs="Arial"/>
                      <w:sz w:val="18"/>
                      <w:lang w:val="en-US" w:eastAsia="ja-JP" w:bidi="ar"/>
                    </w:rPr>
                    <w:t>-85.5</w:t>
                  </w:r>
                  <w:r>
                    <w:rPr>
                      <w:rFonts w:ascii="Arial" w:hAnsi="Arial" w:cs="v5.0.0"/>
                      <w:sz w:val="18"/>
                      <w:lang w:eastAsia="zh-CN"/>
                    </w:rPr>
                    <w:t>- Δ</w:t>
                  </w:r>
                  <w:r>
                    <w:rPr>
                      <w:rFonts w:ascii="Arial" w:hAnsi="Arial" w:cs="Arial"/>
                      <w:sz w:val="18"/>
                      <w:vertAlign w:val="subscript"/>
                      <w:lang w:eastAsia="en-GB"/>
                    </w:rPr>
                    <w:t>OTAREFSENS</w:t>
                  </w:r>
                </w:p>
              </w:tc>
              <w:tc>
                <w:tcPr>
                  <w:tcW w:w="2317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±100</w:t>
                  </w:r>
                </w:p>
              </w:tc>
              <w:tc>
                <w:tcPr>
                  <w:tcW w:w="2463" w:type="dxa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180 kHz NB-IoT signal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631" w:type="dxa"/>
                  <w:gridSpan w:val="5"/>
                  <w:vAlign w:val="center"/>
                </w:tcPr>
                <w:p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hAnsi="Arial" w:cs="Arial"/>
                      <w:sz w:val="18"/>
                      <w:lang w:eastAsia="ja-JP"/>
                    </w:rPr>
                  </w:pP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Note:</w:t>
                  </w:r>
                  <w:r>
                    <w:rPr>
                      <w:rFonts w:ascii="Arial" w:hAnsi="Arial" w:cs="Arial"/>
                      <w:sz w:val="18"/>
                      <w:lang w:eastAsia="ja-JP"/>
                    </w:rPr>
                    <w:tab/>
                  </w:r>
                  <w:r>
                    <w:rPr>
                      <w:rFonts w:ascii="Arial" w:hAnsi="Arial" w:cs="Arial"/>
                      <w:sz w:val="18"/>
                      <w:lang w:eastAsia="ja-JP"/>
                    </w:rPr>
                    <w:t>P</w:t>
                  </w:r>
                  <w:r>
                    <w:rPr>
                      <w:rFonts w:ascii="Arial" w:hAnsi="Arial" w:cs="Arial"/>
                      <w:sz w:val="18"/>
                      <w:vertAlign w:val="subscript"/>
                      <w:lang w:eastAsia="ja-JP"/>
                    </w:rPr>
                    <w:t>REFSENS</w:t>
                  </w:r>
                  <w:r>
                    <w:rPr>
                      <w:rFonts w:ascii="Arial" w:hAnsi="Arial" w:cs="Arial"/>
                      <w:sz w:val="18"/>
                      <w:lang w:eastAsia="ja-JP"/>
                    </w:rPr>
                    <w:t xml:space="preserve"> depends on the sub-carrier spacing as specified in </w:t>
                  </w:r>
                  <w:r>
                    <w:rPr>
                      <w:rFonts w:ascii="Arial" w:hAnsi="Arial" w:eastAsia="Osaka" w:cs="v5.0.0"/>
                      <w:sz w:val="18"/>
                      <w:lang w:eastAsia="en-GB"/>
                    </w:rPr>
                    <w:t>Table 7.2.</w:t>
                  </w:r>
                  <w:r>
                    <w:rPr>
                      <w:rFonts w:hint="eastAsia" w:ascii="Arial" w:hAnsi="Arial" w:eastAsia="宋体" w:cs="v5.0.0"/>
                      <w:sz w:val="18"/>
                      <w:lang w:val="en-US" w:eastAsia="zh-CN"/>
                    </w:rPr>
                    <w:t>2</w:t>
                  </w:r>
                  <w:r>
                    <w:rPr>
                      <w:rFonts w:ascii="Arial" w:hAnsi="Arial" w:eastAsia="Osaka" w:cs="v5.0.0"/>
                      <w:sz w:val="18"/>
                      <w:lang w:eastAsia="en-GB"/>
                    </w:rPr>
                    <w:t>-</w:t>
                  </w:r>
                  <w:r>
                    <w:rPr>
                      <w:rFonts w:ascii="Arial" w:hAnsi="Arial" w:eastAsia="宋体" w:cs="v5.0.0"/>
                      <w:sz w:val="18"/>
                      <w:lang w:val="en-US" w:eastAsia="zh-CN"/>
                    </w:rPr>
                    <w:t>5</w:t>
                  </w:r>
                  <w:r>
                    <w:rPr>
                      <w:rFonts w:ascii="Arial" w:hAnsi="Arial" w:eastAsia="Osaka" w:cs="v5.0.0"/>
                      <w:sz w:val="18"/>
                      <w:lang w:eastAsia="en-GB"/>
                    </w:rPr>
                    <w:t>.</w:t>
                  </w:r>
                </w:p>
              </w:tc>
            </w:tr>
          </w:tbl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10.5.1 OTA adjacent channel selectivity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10.5.2 OTA in-band blocking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10.6 OTA out-of-band blocking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10.7 OTA receiver spurious emissions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10.8 OTA receiver intermodulation</w:t>
            </w:r>
          </w:p>
        </w:tc>
        <w:tc>
          <w:tcPr>
            <w:tcW w:w="6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10.9 OTA in-channel selectivity</w:t>
            </w:r>
          </w:p>
        </w:tc>
        <w:tc>
          <w:tcPr>
            <w:tcW w:w="6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jc w:val="center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 xml:space="preserve">Table 2.6 Annex </w:t>
      </w:r>
    </w:p>
    <w:tbl>
      <w:tblPr>
        <w:tblStyle w:val="24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145"/>
        <w:gridCol w:w="665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3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hint="default" w:ascii="Calibri" w:hAnsi="Calibri" w:eastAsia="Times New Roman" w:cs="Calibri"/>
                <w:b/>
                <w:bCs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eastAsia="PMingLiU"/>
                <w:b/>
                <w:kern w:val="2"/>
                <w:sz w:val="18"/>
                <w:szCs w:val="18"/>
                <w:lang w:eastAsia="zh-CN"/>
              </w:rPr>
              <w:t>Requirements</w:t>
            </w:r>
            <w:r>
              <w:rPr>
                <w:rFonts w:hint="eastAsia" w:eastAsia="PMingLiU"/>
                <w:b/>
                <w:kern w:val="2"/>
                <w:sz w:val="18"/>
                <w:szCs w:val="18"/>
                <w:lang w:val="en-US" w:eastAsia="zh-CN"/>
              </w:rPr>
              <w:t xml:space="preserve"> in TS 38.181</w:t>
            </w:r>
          </w:p>
        </w:tc>
        <w:tc>
          <w:tcPr>
            <w:tcW w:w="6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b/>
                <w:kern w:val="2"/>
                <w:sz w:val="18"/>
                <w:szCs w:val="18"/>
                <w:lang w:eastAsia="zh-CN"/>
              </w:rPr>
              <w:t>Expected impact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bookmarkStart w:id="73" w:name="_Toc169796447"/>
            <w:bookmarkStart w:id="74" w:name="_Toc136851285"/>
            <w:bookmarkStart w:id="75" w:name="_Toc176271737"/>
            <w:bookmarkStart w:id="76" w:name="_Toc138880249"/>
            <w:bookmarkStart w:id="77" w:name="_Toc155651322"/>
            <w:bookmarkStart w:id="78" w:name="_Toc161922056"/>
            <w:bookmarkStart w:id="79" w:name="_Toc145040670"/>
            <w:bookmarkStart w:id="80" w:name="_Toc171511163"/>
            <w:bookmarkStart w:id="81" w:name="_Toc138880716"/>
            <w:bookmarkStart w:id="82" w:name="_Toc155651840"/>
            <w:bookmarkStart w:id="83" w:name="_Toc153562165"/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Annex A (normative):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Reference measurement channel</w:t>
            </w:r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Need to add new FRC A14-3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in Table A.14-1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 for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IoT-NTN TDD band.</w:t>
            </w:r>
          </w:p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Need to add new FRC A15-3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in Table A.15-1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 for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IoT-NTN TDD band.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ascii="Times New Roman" w:hAnsi="Times New Roman" w:cs="Times New Roman"/>
                <w:sz w:val="20"/>
                <w:szCs w:val="20"/>
                <w:lang w:val="en-US" w:eastAsia="fi-FI"/>
              </w:rPr>
            </w:pPr>
            <w:r>
              <w:rPr>
                <w:rFonts w:hint="eastAsia"/>
              </w:rPr>
              <w:t>Annex B (informative): Environmental requirements for SAN equipment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160" w:line="259" w:lineRule="auto"/>
              <w:rPr>
                <w:rFonts w:hint="default" w:eastAsia="Times New Roman"/>
                <w:strike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</w:rPr>
              <w:t>Annex C (informative): Test tolerances and derivation of test requirements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Annex D (informative): Measurement system set-up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Annex E (normative): Characteristics of the interfering signals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Annex F (normative): Propagation conditions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3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Annex G (normative): In-channel Tx test</w:t>
            </w:r>
          </w:p>
        </w:tc>
        <w:tc>
          <w:tcPr>
            <w:tcW w:w="6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Need to revise averaging length for the transmission time to 8ms in section G.7.3 Averaged EVM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We make the proposals as Table 2.1, 2.2, 2.3, 2.4, 2.5 and 2.6 for SAN conformance testing requirements for IoT-NTN TDD band 249.</w:t>
      </w: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some views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SAN conformance testing requirements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for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IoT-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NTN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TDD band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We make the proposals as Table 2.1, 2.2, 2.3, 2.4, 2.5 and 2.6 for SAN conformance testing requirements for IoT-NTN TDD band 249.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1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RP-243293, Revised WID on introduction of IoT-NTN TDD mode, Iridium Satellite LLC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Osaka">
    <w:altName w:val="MS UI Gothic"/>
    <w:panose1 w:val="020B0600000000000000"/>
    <w:charset w:val="80"/>
    <w:family w:val="swiss"/>
    <w:pitch w:val="default"/>
    <w:sig w:usb0="00000000" w:usb1="00000000" w:usb2="00000010" w:usb3="00000000" w:csb0="00020093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7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7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6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0000002"/>
    <w:multiLevelType w:val="singleLevel"/>
    <w:tmpl w:val="0000000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3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2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5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6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8">
    <w:nsid w:val="6532722C"/>
    <w:multiLevelType w:val="multilevel"/>
    <w:tmpl w:val="6532722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B5B4F67"/>
    <w:multiLevelType w:val="multilevel"/>
    <w:tmpl w:val="6B5B4F67"/>
    <w:lvl w:ilvl="0" w:tentative="0">
      <w:start w:val="1"/>
      <w:numFmt w:val="decimal"/>
      <w:pStyle w:val="13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D6B6A"/>
    <w:rsid w:val="024E43D4"/>
    <w:rsid w:val="02510B5E"/>
    <w:rsid w:val="02566C17"/>
    <w:rsid w:val="025C4BEF"/>
    <w:rsid w:val="026246A1"/>
    <w:rsid w:val="0262759F"/>
    <w:rsid w:val="02632182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D16C80"/>
    <w:rsid w:val="02DC3F9C"/>
    <w:rsid w:val="02E3105C"/>
    <w:rsid w:val="02E63DE2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5909AA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2E3362"/>
    <w:rsid w:val="04305EA0"/>
    <w:rsid w:val="04310833"/>
    <w:rsid w:val="04343921"/>
    <w:rsid w:val="04346443"/>
    <w:rsid w:val="043865BF"/>
    <w:rsid w:val="043A14AD"/>
    <w:rsid w:val="044C78D8"/>
    <w:rsid w:val="04537B11"/>
    <w:rsid w:val="04557675"/>
    <w:rsid w:val="04684A28"/>
    <w:rsid w:val="046C0EAE"/>
    <w:rsid w:val="04782230"/>
    <w:rsid w:val="0479507E"/>
    <w:rsid w:val="047B05A3"/>
    <w:rsid w:val="04894975"/>
    <w:rsid w:val="04922411"/>
    <w:rsid w:val="04A65723"/>
    <w:rsid w:val="04B14B03"/>
    <w:rsid w:val="04C52145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61C29"/>
    <w:rsid w:val="057D1D66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B5C7F"/>
    <w:rsid w:val="05EE6827"/>
    <w:rsid w:val="0601277E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54187C"/>
    <w:rsid w:val="065475DE"/>
    <w:rsid w:val="06556C03"/>
    <w:rsid w:val="06676354"/>
    <w:rsid w:val="066E5330"/>
    <w:rsid w:val="06782F84"/>
    <w:rsid w:val="067C28D6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A5532"/>
    <w:rsid w:val="06CD4A70"/>
    <w:rsid w:val="06D313AC"/>
    <w:rsid w:val="06DF4C13"/>
    <w:rsid w:val="06E7678C"/>
    <w:rsid w:val="06EC7519"/>
    <w:rsid w:val="06EF07E5"/>
    <w:rsid w:val="06F42A88"/>
    <w:rsid w:val="06F801C0"/>
    <w:rsid w:val="07072694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9002B"/>
    <w:rsid w:val="088F7D75"/>
    <w:rsid w:val="08983847"/>
    <w:rsid w:val="089B79D9"/>
    <w:rsid w:val="08A44DA6"/>
    <w:rsid w:val="08AA245A"/>
    <w:rsid w:val="08AD2ACC"/>
    <w:rsid w:val="08B76C9F"/>
    <w:rsid w:val="08BA6E24"/>
    <w:rsid w:val="08C024D5"/>
    <w:rsid w:val="08C562FD"/>
    <w:rsid w:val="08CA27B1"/>
    <w:rsid w:val="08E916DF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23E40"/>
    <w:rsid w:val="09F67CD5"/>
    <w:rsid w:val="0A054821"/>
    <w:rsid w:val="0A077A43"/>
    <w:rsid w:val="0A0835C8"/>
    <w:rsid w:val="0A0C17EE"/>
    <w:rsid w:val="0A145721"/>
    <w:rsid w:val="0A2B30C0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C07043D"/>
    <w:rsid w:val="0C1E494F"/>
    <w:rsid w:val="0C3427D0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B1E9C"/>
    <w:rsid w:val="0D1C2E6E"/>
    <w:rsid w:val="0D4B44A1"/>
    <w:rsid w:val="0D632FD4"/>
    <w:rsid w:val="0D6811B4"/>
    <w:rsid w:val="0D6E2620"/>
    <w:rsid w:val="0D704E21"/>
    <w:rsid w:val="0D7F48FE"/>
    <w:rsid w:val="0D883C88"/>
    <w:rsid w:val="0D8A6002"/>
    <w:rsid w:val="0D9074CF"/>
    <w:rsid w:val="0D936E72"/>
    <w:rsid w:val="0D966BF7"/>
    <w:rsid w:val="0DAA3B4C"/>
    <w:rsid w:val="0DB54F84"/>
    <w:rsid w:val="0DB84465"/>
    <w:rsid w:val="0DCC3AE8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A759E"/>
    <w:rsid w:val="0EAF381F"/>
    <w:rsid w:val="0EB13253"/>
    <w:rsid w:val="0EB72E4B"/>
    <w:rsid w:val="0ECE6156"/>
    <w:rsid w:val="0EEC6F1D"/>
    <w:rsid w:val="0F0621F6"/>
    <w:rsid w:val="0F103291"/>
    <w:rsid w:val="0F15660A"/>
    <w:rsid w:val="0F1D0EA6"/>
    <w:rsid w:val="0F1D498B"/>
    <w:rsid w:val="0F22242C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F273F"/>
    <w:rsid w:val="0F7F7919"/>
    <w:rsid w:val="0F8418ED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770D7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D7849"/>
    <w:rsid w:val="11A615EE"/>
    <w:rsid w:val="11A658F4"/>
    <w:rsid w:val="11B16FA5"/>
    <w:rsid w:val="11B91A57"/>
    <w:rsid w:val="11BA3FAE"/>
    <w:rsid w:val="11C67B8F"/>
    <w:rsid w:val="11CE730E"/>
    <w:rsid w:val="11D815C4"/>
    <w:rsid w:val="11D85BD5"/>
    <w:rsid w:val="11E57D4F"/>
    <w:rsid w:val="11EE7275"/>
    <w:rsid w:val="11F40833"/>
    <w:rsid w:val="11F92DAB"/>
    <w:rsid w:val="11FB6DE4"/>
    <w:rsid w:val="11FC38D5"/>
    <w:rsid w:val="11FD37F5"/>
    <w:rsid w:val="12041603"/>
    <w:rsid w:val="120F1E38"/>
    <w:rsid w:val="1210682D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784A61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D2018"/>
    <w:rsid w:val="14CE33C4"/>
    <w:rsid w:val="14D60E60"/>
    <w:rsid w:val="14DA3DA1"/>
    <w:rsid w:val="14E14565"/>
    <w:rsid w:val="14E60B42"/>
    <w:rsid w:val="14E75E9B"/>
    <w:rsid w:val="14EA1C4D"/>
    <w:rsid w:val="14ED27DF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56B65"/>
    <w:rsid w:val="15292108"/>
    <w:rsid w:val="152F4E1B"/>
    <w:rsid w:val="153E2138"/>
    <w:rsid w:val="1546665E"/>
    <w:rsid w:val="154806E1"/>
    <w:rsid w:val="154D342A"/>
    <w:rsid w:val="15581ED5"/>
    <w:rsid w:val="1559587F"/>
    <w:rsid w:val="155E7DEC"/>
    <w:rsid w:val="15740334"/>
    <w:rsid w:val="1574662E"/>
    <w:rsid w:val="15751882"/>
    <w:rsid w:val="1575191B"/>
    <w:rsid w:val="157818C6"/>
    <w:rsid w:val="1596622F"/>
    <w:rsid w:val="159F73BB"/>
    <w:rsid w:val="15B03F28"/>
    <w:rsid w:val="15C15E25"/>
    <w:rsid w:val="15C42571"/>
    <w:rsid w:val="15E30A80"/>
    <w:rsid w:val="15F21B9E"/>
    <w:rsid w:val="15FD2FA2"/>
    <w:rsid w:val="16017C2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26131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26934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410451"/>
    <w:rsid w:val="1A4858FF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C269A"/>
    <w:rsid w:val="1B9D47B8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8F53D9"/>
    <w:rsid w:val="1C92160B"/>
    <w:rsid w:val="1C973EEF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614BDA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4B52"/>
    <w:rsid w:val="1E26583C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E5D6B"/>
    <w:rsid w:val="1F0F2943"/>
    <w:rsid w:val="1F1420D0"/>
    <w:rsid w:val="1F194C88"/>
    <w:rsid w:val="1F323C57"/>
    <w:rsid w:val="1F343977"/>
    <w:rsid w:val="1F3E662A"/>
    <w:rsid w:val="1F4D4715"/>
    <w:rsid w:val="1F4F2219"/>
    <w:rsid w:val="1F614D01"/>
    <w:rsid w:val="1F721405"/>
    <w:rsid w:val="1F935819"/>
    <w:rsid w:val="1FA036A3"/>
    <w:rsid w:val="1FA628A2"/>
    <w:rsid w:val="1FA6556D"/>
    <w:rsid w:val="1FAF2571"/>
    <w:rsid w:val="1FB33036"/>
    <w:rsid w:val="1FC55EDA"/>
    <w:rsid w:val="1FC658C9"/>
    <w:rsid w:val="1FCE593C"/>
    <w:rsid w:val="1FE312AC"/>
    <w:rsid w:val="1FEC5915"/>
    <w:rsid w:val="1FED32EF"/>
    <w:rsid w:val="1FF82884"/>
    <w:rsid w:val="20012BD9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604581"/>
    <w:rsid w:val="206408C4"/>
    <w:rsid w:val="20773A28"/>
    <w:rsid w:val="207944A0"/>
    <w:rsid w:val="208574F4"/>
    <w:rsid w:val="20872047"/>
    <w:rsid w:val="208C4449"/>
    <w:rsid w:val="208F6BAF"/>
    <w:rsid w:val="209414DB"/>
    <w:rsid w:val="20A2127F"/>
    <w:rsid w:val="20A462BA"/>
    <w:rsid w:val="20B36B92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675117"/>
    <w:rsid w:val="21810744"/>
    <w:rsid w:val="21887F7E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E0A7E"/>
    <w:rsid w:val="227E0D30"/>
    <w:rsid w:val="227E7CD6"/>
    <w:rsid w:val="228A4698"/>
    <w:rsid w:val="22925971"/>
    <w:rsid w:val="22945167"/>
    <w:rsid w:val="229B0BE2"/>
    <w:rsid w:val="22A55CD5"/>
    <w:rsid w:val="22C558BB"/>
    <w:rsid w:val="22C74EE2"/>
    <w:rsid w:val="22C9403B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A33AF"/>
    <w:rsid w:val="236C1BCA"/>
    <w:rsid w:val="237464D5"/>
    <w:rsid w:val="23816932"/>
    <w:rsid w:val="238E01E4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3B05EE"/>
    <w:rsid w:val="254A35DD"/>
    <w:rsid w:val="255D45FE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17307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6237C3"/>
    <w:rsid w:val="267550B9"/>
    <w:rsid w:val="26996DAE"/>
    <w:rsid w:val="26BE1846"/>
    <w:rsid w:val="26C472EC"/>
    <w:rsid w:val="26D327B2"/>
    <w:rsid w:val="26DA3C21"/>
    <w:rsid w:val="26E51F4F"/>
    <w:rsid w:val="26E83216"/>
    <w:rsid w:val="26EC491A"/>
    <w:rsid w:val="26ED73E1"/>
    <w:rsid w:val="26F503CD"/>
    <w:rsid w:val="27036506"/>
    <w:rsid w:val="27047832"/>
    <w:rsid w:val="2706037D"/>
    <w:rsid w:val="270738F4"/>
    <w:rsid w:val="27077793"/>
    <w:rsid w:val="270D152E"/>
    <w:rsid w:val="27104BA3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A3741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720CD"/>
    <w:rsid w:val="29BA0D88"/>
    <w:rsid w:val="29BB3E72"/>
    <w:rsid w:val="29CF32B2"/>
    <w:rsid w:val="29DE15A2"/>
    <w:rsid w:val="29E0500B"/>
    <w:rsid w:val="29EC475A"/>
    <w:rsid w:val="29EF3680"/>
    <w:rsid w:val="29EF424E"/>
    <w:rsid w:val="29FA7F26"/>
    <w:rsid w:val="2A0B7871"/>
    <w:rsid w:val="2A166823"/>
    <w:rsid w:val="2A35650F"/>
    <w:rsid w:val="2A405265"/>
    <w:rsid w:val="2A405845"/>
    <w:rsid w:val="2A4562D4"/>
    <w:rsid w:val="2A4D593F"/>
    <w:rsid w:val="2A575627"/>
    <w:rsid w:val="2A6C2D77"/>
    <w:rsid w:val="2A6E31F8"/>
    <w:rsid w:val="2A7270B7"/>
    <w:rsid w:val="2A7871FF"/>
    <w:rsid w:val="2A824349"/>
    <w:rsid w:val="2A87174E"/>
    <w:rsid w:val="2A8A2F9C"/>
    <w:rsid w:val="2AA45D17"/>
    <w:rsid w:val="2AAB3B94"/>
    <w:rsid w:val="2AAC5A06"/>
    <w:rsid w:val="2AB22DE3"/>
    <w:rsid w:val="2AB369FC"/>
    <w:rsid w:val="2AB775FB"/>
    <w:rsid w:val="2ABB3D6F"/>
    <w:rsid w:val="2AC318D9"/>
    <w:rsid w:val="2AC70B30"/>
    <w:rsid w:val="2ACC2AAF"/>
    <w:rsid w:val="2ACD717C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C0A4A"/>
    <w:rsid w:val="2C094904"/>
    <w:rsid w:val="2C0E55A1"/>
    <w:rsid w:val="2C14030B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5C1E78"/>
    <w:rsid w:val="2C722F9A"/>
    <w:rsid w:val="2C797A76"/>
    <w:rsid w:val="2C8B6C0E"/>
    <w:rsid w:val="2C8F4862"/>
    <w:rsid w:val="2C9E5AC8"/>
    <w:rsid w:val="2CA05674"/>
    <w:rsid w:val="2CA2721B"/>
    <w:rsid w:val="2CA63A0C"/>
    <w:rsid w:val="2CAC6D87"/>
    <w:rsid w:val="2CB23B2C"/>
    <w:rsid w:val="2CB268EE"/>
    <w:rsid w:val="2CB600FC"/>
    <w:rsid w:val="2CBE6567"/>
    <w:rsid w:val="2CCB6E18"/>
    <w:rsid w:val="2CCF5C52"/>
    <w:rsid w:val="2CE01F07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600E38"/>
    <w:rsid w:val="2E6B7CB3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417BA"/>
    <w:rsid w:val="2FA6492D"/>
    <w:rsid w:val="2FC86676"/>
    <w:rsid w:val="2FCC43D0"/>
    <w:rsid w:val="2FD17A1B"/>
    <w:rsid w:val="2FD71CA4"/>
    <w:rsid w:val="2FDC432A"/>
    <w:rsid w:val="2FDC4A8D"/>
    <w:rsid w:val="2FE27109"/>
    <w:rsid w:val="2FEA743A"/>
    <w:rsid w:val="2FF24D11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6B7868"/>
    <w:rsid w:val="30830761"/>
    <w:rsid w:val="30926F91"/>
    <w:rsid w:val="30962F3E"/>
    <w:rsid w:val="30A85733"/>
    <w:rsid w:val="30AA2585"/>
    <w:rsid w:val="30C16A19"/>
    <w:rsid w:val="30C262B6"/>
    <w:rsid w:val="30CB5800"/>
    <w:rsid w:val="30D32236"/>
    <w:rsid w:val="30DB6CFA"/>
    <w:rsid w:val="30E43E12"/>
    <w:rsid w:val="30E51B74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901F5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B52836"/>
    <w:rsid w:val="32DF351E"/>
    <w:rsid w:val="32EE5E41"/>
    <w:rsid w:val="32F1510B"/>
    <w:rsid w:val="32F40F87"/>
    <w:rsid w:val="32F520B9"/>
    <w:rsid w:val="32FD7C76"/>
    <w:rsid w:val="330414AF"/>
    <w:rsid w:val="330C22FC"/>
    <w:rsid w:val="33231081"/>
    <w:rsid w:val="332A6617"/>
    <w:rsid w:val="333B2AD9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D23A8"/>
    <w:rsid w:val="33CD6498"/>
    <w:rsid w:val="33D7554F"/>
    <w:rsid w:val="33D825FA"/>
    <w:rsid w:val="33DB2AB1"/>
    <w:rsid w:val="33FE62E7"/>
    <w:rsid w:val="34080399"/>
    <w:rsid w:val="340D25F6"/>
    <w:rsid w:val="34161D6C"/>
    <w:rsid w:val="341E19AD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9657C"/>
    <w:rsid w:val="34A52713"/>
    <w:rsid w:val="34AF60B2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821F6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42C53"/>
    <w:rsid w:val="35774602"/>
    <w:rsid w:val="357E4B0A"/>
    <w:rsid w:val="35866D7F"/>
    <w:rsid w:val="358F6BDF"/>
    <w:rsid w:val="35917C0B"/>
    <w:rsid w:val="35A26AC9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346527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D0DC4"/>
    <w:rsid w:val="36D51D00"/>
    <w:rsid w:val="36D66B5E"/>
    <w:rsid w:val="36D86634"/>
    <w:rsid w:val="36DE4AF9"/>
    <w:rsid w:val="36E410A4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913128B"/>
    <w:rsid w:val="391A3359"/>
    <w:rsid w:val="39285D57"/>
    <w:rsid w:val="39315D4D"/>
    <w:rsid w:val="39457B13"/>
    <w:rsid w:val="394B6470"/>
    <w:rsid w:val="395C6EA8"/>
    <w:rsid w:val="39841325"/>
    <w:rsid w:val="39872512"/>
    <w:rsid w:val="39A602F9"/>
    <w:rsid w:val="39BD45C8"/>
    <w:rsid w:val="39C2316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E055E"/>
    <w:rsid w:val="3A1F6809"/>
    <w:rsid w:val="3A226969"/>
    <w:rsid w:val="3A3F47CE"/>
    <w:rsid w:val="3A410243"/>
    <w:rsid w:val="3A475185"/>
    <w:rsid w:val="3A4E1C5D"/>
    <w:rsid w:val="3A523735"/>
    <w:rsid w:val="3A557AE4"/>
    <w:rsid w:val="3A6B0F84"/>
    <w:rsid w:val="3A727435"/>
    <w:rsid w:val="3A813EA6"/>
    <w:rsid w:val="3A94055A"/>
    <w:rsid w:val="3AAF3C63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569C2"/>
    <w:rsid w:val="3BD96AA6"/>
    <w:rsid w:val="3BDB053C"/>
    <w:rsid w:val="3BE4466B"/>
    <w:rsid w:val="3BEC2DB7"/>
    <w:rsid w:val="3BED002E"/>
    <w:rsid w:val="3C0429BF"/>
    <w:rsid w:val="3C066389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734413"/>
    <w:rsid w:val="3C7A6E5A"/>
    <w:rsid w:val="3C8869CA"/>
    <w:rsid w:val="3C982C18"/>
    <w:rsid w:val="3CA734F8"/>
    <w:rsid w:val="3CA95F71"/>
    <w:rsid w:val="3CB33ABD"/>
    <w:rsid w:val="3CC16893"/>
    <w:rsid w:val="3CC74223"/>
    <w:rsid w:val="3CC828D0"/>
    <w:rsid w:val="3CCB43BE"/>
    <w:rsid w:val="3CD10320"/>
    <w:rsid w:val="3CD12D66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04782"/>
    <w:rsid w:val="3E2A7B0A"/>
    <w:rsid w:val="3E314520"/>
    <w:rsid w:val="3E3A04FA"/>
    <w:rsid w:val="3E3A69DE"/>
    <w:rsid w:val="3E3D6B96"/>
    <w:rsid w:val="3E3F202E"/>
    <w:rsid w:val="3E441C7D"/>
    <w:rsid w:val="3E490256"/>
    <w:rsid w:val="3E4C2EC5"/>
    <w:rsid w:val="3E55739E"/>
    <w:rsid w:val="3E6C43C8"/>
    <w:rsid w:val="3E8227F0"/>
    <w:rsid w:val="3E937F82"/>
    <w:rsid w:val="3E9B4B40"/>
    <w:rsid w:val="3EA926A7"/>
    <w:rsid w:val="3EB71AC8"/>
    <w:rsid w:val="3EC85E34"/>
    <w:rsid w:val="3ECF2AAC"/>
    <w:rsid w:val="3ED0424C"/>
    <w:rsid w:val="3ED07B7E"/>
    <w:rsid w:val="3EDC2C5B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00B81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EA3A1C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5857DF"/>
    <w:rsid w:val="41735B7F"/>
    <w:rsid w:val="419302E2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C60D5"/>
    <w:rsid w:val="420D197F"/>
    <w:rsid w:val="42130DE5"/>
    <w:rsid w:val="42170BD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143B8"/>
    <w:rsid w:val="42A37FC3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1C35C1"/>
    <w:rsid w:val="431C44AA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7556C4"/>
    <w:rsid w:val="43874CD4"/>
    <w:rsid w:val="43874FE8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EB5134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70907"/>
    <w:rsid w:val="455908C0"/>
    <w:rsid w:val="455933A5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B237F"/>
    <w:rsid w:val="460C5979"/>
    <w:rsid w:val="46110AB3"/>
    <w:rsid w:val="46143B66"/>
    <w:rsid w:val="4615371C"/>
    <w:rsid w:val="46214325"/>
    <w:rsid w:val="4626398E"/>
    <w:rsid w:val="46315F44"/>
    <w:rsid w:val="463246EC"/>
    <w:rsid w:val="463425D3"/>
    <w:rsid w:val="463A3547"/>
    <w:rsid w:val="464B28C8"/>
    <w:rsid w:val="464D2694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9E7317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2F0207"/>
    <w:rsid w:val="473069AF"/>
    <w:rsid w:val="47356ECD"/>
    <w:rsid w:val="474A0EAF"/>
    <w:rsid w:val="474E50BE"/>
    <w:rsid w:val="47523FA0"/>
    <w:rsid w:val="476700F2"/>
    <w:rsid w:val="47696F9C"/>
    <w:rsid w:val="476D79EB"/>
    <w:rsid w:val="47714F1F"/>
    <w:rsid w:val="47725A17"/>
    <w:rsid w:val="47756A03"/>
    <w:rsid w:val="477D3243"/>
    <w:rsid w:val="478821A1"/>
    <w:rsid w:val="478D3694"/>
    <w:rsid w:val="479128A9"/>
    <w:rsid w:val="47956820"/>
    <w:rsid w:val="47975EDC"/>
    <w:rsid w:val="47983B19"/>
    <w:rsid w:val="479E2C8A"/>
    <w:rsid w:val="47A3609D"/>
    <w:rsid w:val="47C01792"/>
    <w:rsid w:val="47C57A48"/>
    <w:rsid w:val="47D511BD"/>
    <w:rsid w:val="47F51975"/>
    <w:rsid w:val="4808150F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11BEB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A16CD"/>
    <w:rsid w:val="498A7FB5"/>
    <w:rsid w:val="499145D9"/>
    <w:rsid w:val="49A33C27"/>
    <w:rsid w:val="49A750B5"/>
    <w:rsid w:val="49AA7951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10FFE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133D7"/>
    <w:rsid w:val="4D6748C7"/>
    <w:rsid w:val="4D7D3EFB"/>
    <w:rsid w:val="4D883EF9"/>
    <w:rsid w:val="4D8B0123"/>
    <w:rsid w:val="4D903082"/>
    <w:rsid w:val="4D907392"/>
    <w:rsid w:val="4D940DD6"/>
    <w:rsid w:val="4D9921B7"/>
    <w:rsid w:val="4DAE4B1E"/>
    <w:rsid w:val="4DAF14C5"/>
    <w:rsid w:val="4DB9067A"/>
    <w:rsid w:val="4DC605B6"/>
    <w:rsid w:val="4DD732D2"/>
    <w:rsid w:val="4DEC0985"/>
    <w:rsid w:val="4E000105"/>
    <w:rsid w:val="4E0538A3"/>
    <w:rsid w:val="4E0E6818"/>
    <w:rsid w:val="4E27683A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844A99"/>
    <w:rsid w:val="4F94662C"/>
    <w:rsid w:val="4FA33072"/>
    <w:rsid w:val="4FAB774E"/>
    <w:rsid w:val="4FB00163"/>
    <w:rsid w:val="4FB208E7"/>
    <w:rsid w:val="4FB47CBB"/>
    <w:rsid w:val="4FE30332"/>
    <w:rsid w:val="4FE70BB4"/>
    <w:rsid w:val="4FE73C01"/>
    <w:rsid w:val="4FE76D51"/>
    <w:rsid w:val="4FE87C31"/>
    <w:rsid w:val="4FF03F98"/>
    <w:rsid w:val="4FF14DCF"/>
    <w:rsid w:val="4FF62B3F"/>
    <w:rsid w:val="4FFA1E51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B6306"/>
    <w:rsid w:val="50C12EDC"/>
    <w:rsid w:val="50CD2E4B"/>
    <w:rsid w:val="50D8533B"/>
    <w:rsid w:val="50DA0A9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E7AC2"/>
    <w:rsid w:val="513F6CC6"/>
    <w:rsid w:val="51471753"/>
    <w:rsid w:val="514E4912"/>
    <w:rsid w:val="515400FF"/>
    <w:rsid w:val="515441FE"/>
    <w:rsid w:val="515D735D"/>
    <w:rsid w:val="5161556E"/>
    <w:rsid w:val="51631E12"/>
    <w:rsid w:val="516A5418"/>
    <w:rsid w:val="516F4764"/>
    <w:rsid w:val="51771D97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EA59DB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62256"/>
    <w:rsid w:val="53BD0731"/>
    <w:rsid w:val="53BF4252"/>
    <w:rsid w:val="53D5647F"/>
    <w:rsid w:val="53D6247A"/>
    <w:rsid w:val="53DB3477"/>
    <w:rsid w:val="53DE00FF"/>
    <w:rsid w:val="53E656AF"/>
    <w:rsid w:val="53E77CBF"/>
    <w:rsid w:val="53FE7128"/>
    <w:rsid w:val="541F4F9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B06F11"/>
    <w:rsid w:val="54B56DF4"/>
    <w:rsid w:val="54B93943"/>
    <w:rsid w:val="54BE5578"/>
    <w:rsid w:val="54BF52B5"/>
    <w:rsid w:val="54D202CA"/>
    <w:rsid w:val="54D54E59"/>
    <w:rsid w:val="54DD41DB"/>
    <w:rsid w:val="54ED3D78"/>
    <w:rsid w:val="54F0664A"/>
    <w:rsid w:val="54F52BA3"/>
    <w:rsid w:val="54F54E04"/>
    <w:rsid w:val="54FD1E28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630C00"/>
    <w:rsid w:val="56721038"/>
    <w:rsid w:val="567221C5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EA06E0"/>
    <w:rsid w:val="56F05010"/>
    <w:rsid w:val="56FB2A68"/>
    <w:rsid w:val="57011F3E"/>
    <w:rsid w:val="57050D7B"/>
    <w:rsid w:val="5705646B"/>
    <w:rsid w:val="57060649"/>
    <w:rsid w:val="57124797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9E7444"/>
    <w:rsid w:val="58AD27D9"/>
    <w:rsid w:val="58B169A2"/>
    <w:rsid w:val="58B9636C"/>
    <w:rsid w:val="58C37133"/>
    <w:rsid w:val="58C93046"/>
    <w:rsid w:val="58D36BCB"/>
    <w:rsid w:val="58D8157C"/>
    <w:rsid w:val="58E11166"/>
    <w:rsid w:val="58E60CD3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2647E"/>
    <w:rsid w:val="5A641DE9"/>
    <w:rsid w:val="5A746DF6"/>
    <w:rsid w:val="5A8E6670"/>
    <w:rsid w:val="5A912613"/>
    <w:rsid w:val="5A9245E9"/>
    <w:rsid w:val="5A953D41"/>
    <w:rsid w:val="5AA12940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EF2CC2"/>
    <w:rsid w:val="5AF124A4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20B74"/>
    <w:rsid w:val="5BB33170"/>
    <w:rsid w:val="5BC677D8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1C3059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D70D1"/>
    <w:rsid w:val="5C8542A8"/>
    <w:rsid w:val="5C93251D"/>
    <w:rsid w:val="5CA6294E"/>
    <w:rsid w:val="5CCC1DEC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33A5E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FD51DB"/>
    <w:rsid w:val="5E0B017F"/>
    <w:rsid w:val="5E0B0848"/>
    <w:rsid w:val="5E1D4A67"/>
    <w:rsid w:val="5E1F2E4C"/>
    <w:rsid w:val="5E237029"/>
    <w:rsid w:val="5E3358BB"/>
    <w:rsid w:val="5E3A3BD1"/>
    <w:rsid w:val="5E4E2212"/>
    <w:rsid w:val="5E4F1C2F"/>
    <w:rsid w:val="5E4F4B48"/>
    <w:rsid w:val="5E5203B8"/>
    <w:rsid w:val="5E53474B"/>
    <w:rsid w:val="5E5D2503"/>
    <w:rsid w:val="5E5D7D0E"/>
    <w:rsid w:val="5E603923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68C"/>
    <w:rsid w:val="5F875C0C"/>
    <w:rsid w:val="5F8A0701"/>
    <w:rsid w:val="5F8F0B9E"/>
    <w:rsid w:val="5F8F267A"/>
    <w:rsid w:val="5F941274"/>
    <w:rsid w:val="5F99518A"/>
    <w:rsid w:val="5F9A540B"/>
    <w:rsid w:val="5FAB7F08"/>
    <w:rsid w:val="5FB021DE"/>
    <w:rsid w:val="5FB7185B"/>
    <w:rsid w:val="5FB94C48"/>
    <w:rsid w:val="5FBE576C"/>
    <w:rsid w:val="5FDE327E"/>
    <w:rsid w:val="5FE11DB4"/>
    <w:rsid w:val="5FEB4E90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37FFC"/>
    <w:rsid w:val="602C236D"/>
    <w:rsid w:val="603114E4"/>
    <w:rsid w:val="603967D7"/>
    <w:rsid w:val="603D3325"/>
    <w:rsid w:val="604040A8"/>
    <w:rsid w:val="60470CE3"/>
    <w:rsid w:val="60485D19"/>
    <w:rsid w:val="604D29BA"/>
    <w:rsid w:val="606711B4"/>
    <w:rsid w:val="60673C40"/>
    <w:rsid w:val="606A52D4"/>
    <w:rsid w:val="606C5678"/>
    <w:rsid w:val="607A0897"/>
    <w:rsid w:val="607C3753"/>
    <w:rsid w:val="607F6EAB"/>
    <w:rsid w:val="60824F37"/>
    <w:rsid w:val="608D1D4E"/>
    <w:rsid w:val="60911FEF"/>
    <w:rsid w:val="60923D36"/>
    <w:rsid w:val="6092569C"/>
    <w:rsid w:val="609D0F5A"/>
    <w:rsid w:val="60AC72CC"/>
    <w:rsid w:val="60AD0357"/>
    <w:rsid w:val="60B004BE"/>
    <w:rsid w:val="60B6381B"/>
    <w:rsid w:val="60BA604C"/>
    <w:rsid w:val="60BE348E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1D54C0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344A89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376AC"/>
    <w:rsid w:val="62CE13CB"/>
    <w:rsid w:val="62D2197B"/>
    <w:rsid w:val="62DB028F"/>
    <w:rsid w:val="62EE4623"/>
    <w:rsid w:val="62F214BD"/>
    <w:rsid w:val="62F6011A"/>
    <w:rsid w:val="62FD2BA9"/>
    <w:rsid w:val="6327422B"/>
    <w:rsid w:val="6328597C"/>
    <w:rsid w:val="633B249F"/>
    <w:rsid w:val="633D1842"/>
    <w:rsid w:val="635123F0"/>
    <w:rsid w:val="63552D76"/>
    <w:rsid w:val="6359778B"/>
    <w:rsid w:val="635B63E3"/>
    <w:rsid w:val="636728FB"/>
    <w:rsid w:val="63677698"/>
    <w:rsid w:val="63771D13"/>
    <w:rsid w:val="638C3395"/>
    <w:rsid w:val="63B37325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47D2A"/>
    <w:rsid w:val="63F6335E"/>
    <w:rsid w:val="63FE2D33"/>
    <w:rsid w:val="64046427"/>
    <w:rsid w:val="640B5788"/>
    <w:rsid w:val="64143E77"/>
    <w:rsid w:val="642369FC"/>
    <w:rsid w:val="64254882"/>
    <w:rsid w:val="64264A79"/>
    <w:rsid w:val="642A38B2"/>
    <w:rsid w:val="64304E58"/>
    <w:rsid w:val="64311867"/>
    <w:rsid w:val="64391ED3"/>
    <w:rsid w:val="6445632E"/>
    <w:rsid w:val="64566F9D"/>
    <w:rsid w:val="64596CB3"/>
    <w:rsid w:val="64742B63"/>
    <w:rsid w:val="647949B0"/>
    <w:rsid w:val="647E661E"/>
    <w:rsid w:val="648939AA"/>
    <w:rsid w:val="648C635C"/>
    <w:rsid w:val="64941876"/>
    <w:rsid w:val="649B1AC2"/>
    <w:rsid w:val="649B4C1C"/>
    <w:rsid w:val="64A7467B"/>
    <w:rsid w:val="64B53322"/>
    <w:rsid w:val="64C41B57"/>
    <w:rsid w:val="64C61AF8"/>
    <w:rsid w:val="64C86505"/>
    <w:rsid w:val="64E65F95"/>
    <w:rsid w:val="64EB5728"/>
    <w:rsid w:val="64F92488"/>
    <w:rsid w:val="64FA211B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733E15"/>
    <w:rsid w:val="65822810"/>
    <w:rsid w:val="65870C45"/>
    <w:rsid w:val="658F6B54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4E2E88"/>
    <w:rsid w:val="665572E9"/>
    <w:rsid w:val="665B14BD"/>
    <w:rsid w:val="665B55EA"/>
    <w:rsid w:val="66600F11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B51E22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3C5"/>
    <w:rsid w:val="69C12919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D3247E"/>
    <w:rsid w:val="6AE4699C"/>
    <w:rsid w:val="6AED1BE8"/>
    <w:rsid w:val="6AF00853"/>
    <w:rsid w:val="6AF317C6"/>
    <w:rsid w:val="6B004C6B"/>
    <w:rsid w:val="6B0722BD"/>
    <w:rsid w:val="6B09696B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9D3CA9"/>
    <w:rsid w:val="6BA6663C"/>
    <w:rsid w:val="6BA9194F"/>
    <w:rsid w:val="6BB07973"/>
    <w:rsid w:val="6BCA7437"/>
    <w:rsid w:val="6BE71622"/>
    <w:rsid w:val="6BE727F5"/>
    <w:rsid w:val="6C001608"/>
    <w:rsid w:val="6C08064C"/>
    <w:rsid w:val="6C0858B3"/>
    <w:rsid w:val="6C132D21"/>
    <w:rsid w:val="6C14347F"/>
    <w:rsid w:val="6C240DF3"/>
    <w:rsid w:val="6C3977A7"/>
    <w:rsid w:val="6C40149E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47019"/>
    <w:rsid w:val="6CA75F1D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ED1766"/>
    <w:rsid w:val="6DF43BD4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7210B"/>
    <w:rsid w:val="6ECC3A24"/>
    <w:rsid w:val="6ED86D3E"/>
    <w:rsid w:val="6EE9744F"/>
    <w:rsid w:val="6EEC3F7C"/>
    <w:rsid w:val="6EF3602C"/>
    <w:rsid w:val="6EF65A2C"/>
    <w:rsid w:val="6EF7664F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462C2A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BF7463"/>
    <w:rsid w:val="6FC9109F"/>
    <w:rsid w:val="6FCC6779"/>
    <w:rsid w:val="6FDB518F"/>
    <w:rsid w:val="6FE529ED"/>
    <w:rsid w:val="6FED720E"/>
    <w:rsid w:val="6FF733A7"/>
    <w:rsid w:val="70003DD9"/>
    <w:rsid w:val="70072915"/>
    <w:rsid w:val="70172090"/>
    <w:rsid w:val="70195E88"/>
    <w:rsid w:val="701D43BA"/>
    <w:rsid w:val="70216162"/>
    <w:rsid w:val="70291C03"/>
    <w:rsid w:val="702B6F43"/>
    <w:rsid w:val="7032079E"/>
    <w:rsid w:val="703C186A"/>
    <w:rsid w:val="704C34F0"/>
    <w:rsid w:val="70570007"/>
    <w:rsid w:val="705843B4"/>
    <w:rsid w:val="7058635C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CB59B1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D22C0"/>
    <w:rsid w:val="71B623F6"/>
    <w:rsid w:val="71B84778"/>
    <w:rsid w:val="71C17B7E"/>
    <w:rsid w:val="71C7540C"/>
    <w:rsid w:val="71E857A5"/>
    <w:rsid w:val="71F64A63"/>
    <w:rsid w:val="71F870B8"/>
    <w:rsid w:val="71F9130C"/>
    <w:rsid w:val="72021233"/>
    <w:rsid w:val="720B2A1D"/>
    <w:rsid w:val="72197AB8"/>
    <w:rsid w:val="722D6444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B736C"/>
    <w:rsid w:val="732C334F"/>
    <w:rsid w:val="733501BF"/>
    <w:rsid w:val="734F0C79"/>
    <w:rsid w:val="734F4185"/>
    <w:rsid w:val="73520620"/>
    <w:rsid w:val="73536078"/>
    <w:rsid w:val="7363274A"/>
    <w:rsid w:val="73691A4A"/>
    <w:rsid w:val="7371152B"/>
    <w:rsid w:val="73777B4D"/>
    <w:rsid w:val="737920CD"/>
    <w:rsid w:val="738A6895"/>
    <w:rsid w:val="738D1AFA"/>
    <w:rsid w:val="73917325"/>
    <w:rsid w:val="7395427D"/>
    <w:rsid w:val="73AE5485"/>
    <w:rsid w:val="73B1087F"/>
    <w:rsid w:val="73BC7089"/>
    <w:rsid w:val="73BE7067"/>
    <w:rsid w:val="73C053EA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E427B4"/>
    <w:rsid w:val="74E4756E"/>
    <w:rsid w:val="74ED19FF"/>
    <w:rsid w:val="75084E8F"/>
    <w:rsid w:val="7509261E"/>
    <w:rsid w:val="75165CCF"/>
    <w:rsid w:val="75202656"/>
    <w:rsid w:val="752231CE"/>
    <w:rsid w:val="75276DE2"/>
    <w:rsid w:val="753F3D3B"/>
    <w:rsid w:val="754723D0"/>
    <w:rsid w:val="75482D09"/>
    <w:rsid w:val="75562BA1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123E1D"/>
    <w:rsid w:val="761270F3"/>
    <w:rsid w:val="761724E5"/>
    <w:rsid w:val="762545DB"/>
    <w:rsid w:val="762A17C0"/>
    <w:rsid w:val="762B7A6C"/>
    <w:rsid w:val="762E6798"/>
    <w:rsid w:val="763B4133"/>
    <w:rsid w:val="763E6F8E"/>
    <w:rsid w:val="76425118"/>
    <w:rsid w:val="764838B9"/>
    <w:rsid w:val="764B15DA"/>
    <w:rsid w:val="764C09B4"/>
    <w:rsid w:val="764F5A52"/>
    <w:rsid w:val="76521C57"/>
    <w:rsid w:val="766163C1"/>
    <w:rsid w:val="76665926"/>
    <w:rsid w:val="766A4A0D"/>
    <w:rsid w:val="767F0863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ED2A47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451578"/>
    <w:rsid w:val="774963F2"/>
    <w:rsid w:val="77576666"/>
    <w:rsid w:val="77636E18"/>
    <w:rsid w:val="77647264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8C055F"/>
    <w:rsid w:val="788E1C96"/>
    <w:rsid w:val="78A90B04"/>
    <w:rsid w:val="78B0552C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13CC6"/>
    <w:rsid w:val="794708D9"/>
    <w:rsid w:val="794B21A1"/>
    <w:rsid w:val="7964574A"/>
    <w:rsid w:val="79804706"/>
    <w:rsid w:val="79835FC2"/>
    <w:rsid w:val="79840597"/>
    <w:rsid w:val="79941CF2"/>
    <w:rsid w:val="79973382"/>
    <w:rsid w:val="79B4353E"/>
    <w:rsid w:val="79C07B43"/>
    <w:rsid w:val="79C52AD2"/>
    <w:rsid w:val="79C832AC"/>
    <w:rsid w:val="79D33056"/>
    <w:rsid w:val="79D715DF"/>
    <w:rsid w:val="79D85AB0"/>
    <w:rsid w:val="79E16F93"/>
    <w:rsid w:val="79E701E5"/>
    <w:rsid w:val="79EC0256"/>
    <w:rsid w:val="79F60153"/>
    <w:rsid w:val="79FA15B1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9432B"/>
    <w:rsid w:val="7A6E4BF5"/>
    <w:rsid w:val="7A6E5088"/>
    <w:rsid w:val="7A7F4A1E"/>
    <w:rsid w:val="7A8246BA"/>
    <w:rsid w:val="7A851D5D"/>
    <w:rsid w:val="7A8A2267"/>
    <w:rsid w:val="7AA07F3B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DF4F96"/>
    <w:rsid w:val="7BEC2711"/>
    <w:rsid w:val="7BF55850"/>
    <w:rsid w:val="7C1054B7"/>
    <w:rsid w:val="7C131E53"/>
    <w:rsid w:val="7C261982"/>
    <w:rsid w:val="7C26369C"/>
    <w:rsid w:val="7C2A465C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A7CDC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F5720"/>
    <w:rsid w:val="7D186F3E"/>
    <w:rsid w:val="7D24652E"/>
    <w:rsid w:val="7D2561FD"/>
    <w:rsid w:val="7D2E198F"/>
    <w:rsid w:val="7D342E03"/>
    <w:rsid w:val="7D355821"/>
    <w:rsid w:val="7D3B3737"/>
    <w:rsid w:val="7D3D73AF"/>
    <w:rsid w:val="7D3F6E5D"/>
    <w:rsid w:val="7D5052A6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AE6C1A"/>
    <w:rsid w:val="7DCD1A27"/>
    <w:rsid w:val="7DCD4EB5"/>
    <w:rsid w:val="7DDF20BC"/>
    <w:rsid w:val="7DE07962"/>
    <w:rsid w:val="7DE34955"/>
    <w:rsid w:val="7DF07935"/>
    <w:rsid w:val="7DFF1E31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BE6C35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qFormat="1" w:unhideWhenUsed="0" w:uiPriority="0" w:semiHidden="0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6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5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4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0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1">
    <w:name w:val="Document Map"/>
    <w:basedOn w:val="1"/>
    <w:link w:val="42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annotation text"/>
    <w:basedOn w:val="1"/>
    <w:link w:val="43"/>
    <w:unhideWhenUsed/>
    <w:qFormat/>
    <w:uiPriority w:val="0"/>
    <w:pPr>
      <w:spacing w:before="120" w:after="120"/>
      <w:jc w:val="left"/>
    </w:pPr>
  </w:style>
  <w:style w:type="paragraph" w:styleId="13">
    <w:name w:val="List 2"/>
    <w:basedOn w:val="14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6">
    <w:name w:val="Balloon Text"/>
    <w:basedOn w:val="1"/>
    <w:link w:val="3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7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9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9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20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1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3">
    <w:name w:val="annotation subject"/>
    <w:basedOn w:val="12"/>
    <w:next w:val="12"/>
    <w:link w:val="44"/>
    <w:semiHidden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Emphasis"/>
    <w:basedOn w:val="26"/>
    <w:qFormat/>
    <w:uiPriority w:val="20"/>
    <w:rPr>
      <w:i/>
    </w:rPr>
  </w:style>
  <w:style w:type="character" w:styleId="29">
    <w:name w:val="Hyperlink"/>
    <w:qFormat/>
    <w:uiPriority w:val="99"/>
    <w:rPr>
      <w:color w:val="0000FF"/>
      <w:u w:val="single"/>
    </w:rPr>
  </w:style>
  <w:style w:type="character" w:styleId="30">
    <w:name w:val="annotation reference"/>
    <w:basedOn w:val="26"/>
    <w:unhideWhenUsed/>
    <w:qFormat/>
    <w:uiPriority w:val="0"/>
    <w:rPr>
      <w:sz w:val="16"/>
      <w:szCs w:val="16"/>
    </w:rPr>
  </w:style>
  <w:style w:type="character" w:customStyle="1" w:styleId="31">
    <w:name w:val="批注框文本 Char"/>
    <w:basedOn w:val="26"/>
    <w:link w:val="16"/>
    <w:semiHidden/>
    <w:qFormat/>
    <w:uiPriority w:val="99"/>
    <w:rPr>
      <w:kern w:val="2"/>
      <w:sz w:val="18"/>
      <w:szCs w:val="18"/>
    </w:rPr>
  </w:style>
  <w:style w:type="paragraph" w:customStyle="1" w:styleId="32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3">
    <w:name w:val="YJ-Observation"/>
    <w:basedOn w:val="32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4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5">
    <w:name w:val="List Paragraph"/>
    <w:basedOn w:val="1"/>
    <w:link w:val="69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6">
    <w:name w:val="sub-proposal"/>
    <w:basedOn w:val="32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7">
    <w:name w:val="样式1"/>
    <w:basedOn w:val="1"/>
    <w:qFormat/>
    <w:uiPriority w:val="0"/>
  </w:style>
  <w:style w:type="paragraph" w:customStyle="1" w:styleId="3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9">
    <w:name w:val="页眉 Char"/>
    <w:basedOn w:val="26"/>
    <w:link w:val="18"/>
    <w:semiHidden/>
    <w:qFormat/>
    <w:uiPriority w:val="0"/>
    <w:rPr>
      <w:rFonts w:eastAsia="宋体"/>
      <w:kern w:val="2"/>
      <w:sz w:val="21"/>
    </w:rPr>
  </w:style>
  <w:style w:type="character" w:customStyle="1" w:styleId="40">
    <w:name w:val="页脚 Char"/>
    <w:basedOn w:val="26"/>
    <w:link w:val="17"/>
    <w:qFormat/>
    <w:uiPriority w:val="99"/>
    <w:rPr>
      <w:rFonts w:eastAsia="宋体"/>
      <w:kern w:val="2"/>
      <w:sz w:val="18"/>
      <w:szCs w:val="18"/>
    </w:rPr>
  </w:style>
  <w:style w:type="paragraph" w:customStyle="1" w:styleId="41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2">
    <w:name w:val="文档结构图 Char"/>
    <w:basedOn w:val="26"/>
    <w:link w:val="11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3">
    <w:name w:val="批注文字 Char"/>
    <w:basedOn w:val="26"/>
    <w:link w:val="12"/>
    <w:qFormat/>
    <w:uiPriority w:val="0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7">
    <w:name w:val="3rd level proposal"/>
    <w:basedOn w:val="36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8">
    <w:name w:val="B1"/>
    <w:basedOn w:val="14"/>
    <w:link w:val="62"/>
    <w:qFormat/>
    <w:uiPriority w:val="0"/>
  </w:style>
  <w:style w:type="paragraph" w:customStyle="1" w:styleId="49">
    <w:name w:val="B3"/>
    <w:basedOn w:val="1"/>
    <w:qFormat/>
    <w:uiPriority w:val="0"/>
    <w:pPr>
      <w:ind w:left="1135" w:hanging="284"/>
    </w:pPr>
  </w:style>
  <w:style w:type="character" w:styleId="50">
    <w:name w:val="Placeholder Text"/>
    <w:basedOn w:val="26"/>
    <w:semiHidden/>
    <w:qFormat/>
    <w:uiPriority w:val="99"/>
    <w:rPr>
      <w:color w:val="808080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B2"/>
    <w:basedOn w:val="13"/>
    <w:qFormat/>
    <w:uiPriority w:val="0"/>
    <w:pPr>
      <w:ind w:left="851" w:hanging="284"/>
    </w:pPr>
    <w:rPr>
      <w:lang w:val="zh-CN"/>
    </w:rPr>
  </w:style>
  <w:style w:type="paragraph" w:customStyle="1" w:styleId="53">
    <w:name w:val="B4"/>
    <w:basedOn w:val="1"/>
    <w:qFormat/>
    <w:uiPriority w:val="0"/>
    <w:pPr>
      <w:ind w:left="1418" w:hanging="284"/>
    </w:pPr>
  </w:style>
  <w:style w:type="character" w:customStyle="1" w:styleId="54">
    <w:name w:val="标题 4 Char"/>
    <w:basedOn w:val="26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3 Char"/>
    <w:basedOn w:val="26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6">
    <w:name w:val="标题 2 Char"/>
    <w:basedOn w:val="26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TAC"/>
    <w:basedOn w:val="59"/>
    <w:link w:val="67"/>
    <w:qFormat/>
    <w:uiPriority w:val="0"/>
    <w:pPr>
      <w:jc w:val="center"/>
    </w:pPr>
  </w:style>
  <w:style w:type="paragraph" w:customStyle="1" w:styleId="59">
    <w:name w:val="TAL"/>
    <w:basedOn w:val="1"/>
    <w:link w:val="68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character" w:customStyle="1" w:styleId="62">
    <w:name w:val="B1 Char1"/>
    <w:link w:val="48"/>
    <w:qFormat/>
    <w:uiPriority w:val="0"/>
    <w:rPr>
      <w:kern w:val="2"/>
      <w:sz w:val="21"/>
    </w:rPr>
  </w:style>
  <w:style w:type="character" w:customStyle="1" w:styleId="63">
    <w:name w:val="NO Char"/>
    <w:link w:val="64"/>
    <w:qFormat/>
    <w:uiPriority w:val="0"/>
    <w:rPr>
      <w:lang w:val="en-GB" w:eastAsia="en-US"/>
    </w:rPr>
  </w:style>
  <w:style w:type="paragraph" w:customStyle="1" w:styleId="64">
    <w:name w:val="NO"/>
    <w:basedOn w:val="1"/>
    <w:link w:val="63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5">
    <w:name w:val="TAH Car"/>
    <w:link w:val="66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6">
    <w:name w:val="TAH"/>
    <w:basedOn w:val="58"/>
    <w:link w:val="65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7">
    <w:name w:val="TAC Char"/>
    <w:link w:val="58"/>
    <w:qFormat/>
    <w:locked/>
    <w:uiPriority w:val="0"/>
    <w:rPr>
      <w:rFonts w:ascii="Arial" w:hAnsi="Arial"/>
      <w:kern w:val="2"/>
      <w:sz w:val="18"/>
    </w:rPr>
  </w:style>
  <w:style w:type="character" w:customStyle="1" w:styleId="68">
    <w:name w:val="TAL Car"/>
    <w:link w:val="59"/>
    <w:qFormat/>
    <w:uiPriority w:val="0"/>
    <w:rPr>
      <w:rFonts w:ascii="Arial" w:hAnsi="Arial"/>
      <w:kern w:val="2"/>
      <w:sz w:val="18"/>
    </w:rPr>
  </w:style>
  <w:style w:type="character" w:customStyle="1" w:styleId="69">
    <w:name w:val="列出段落 Char"/>
    <w:link w:val="35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1">
    <w:name w:val="TAN"/>
    <w:basedOn w:val="59"/>
    <w:qFormat/>
    <w:uiPriority w:val="0"/>
    <w:pPr>
      <w:ind w:left="851" w:hanging="851"/>
    </w:pPr>
  </w:style>
  <w:style w:type="character" w:customStyle="1" w:styleId="72">
    <w:name w:val="font4"/>
    <w:basedOn w:val="26"/>
    <w:qFormat/>
    <w:uiPriority w:val="0"/>
  </w:style>
  <w:style w:type="paragraph" w:customStyle="1" w:styleId="73">
    <w:name w:val="样式 页眉"/>
    <w:basedOn w:val="18"/>
    <w:qFormat/>
    <w:uiPriority w:val="0"/>
    <w:rPr>
      <w:rFonts w:eastAsia="Arial"/>
      <w:bCs/>
      <w:sz w:val="22"/>
    </w:rPr>
  </w:style>
  <w:style w:type="paragraph" w:customStyle="1" w:styleId="7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5">
    <w:name w:val="font2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6">
    <w:name w:val="font01"/>
    <w:basedOn w:val="2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7">
    <w:name w:val="font31"/>
    <w:basedOn w:val="26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8">
    <w:name w:val="font41"/>
    <w:basedOn w:val="26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9">
    <w:name w:val="font11"/>
    <w:basedOn w:val="26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80">
    <w:name w:val="TableGrid2"/>
    <w:basedOn w:val="24"/>
    <w:qFormat/>
    <w:uiPriority w:val="39"/>
    <w:rPr>
      <w:rFonts w:eastAsia="PMingLiU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1">
    <w:name w:val="WW8Num1z0"/>
    <w:qFormat/>
    <w:uiPriority w:val="0"/>
  </w:style>
  <w:style w:type="character" w:customStyle="1" w:styleId="82">
    <w:name w:val="ui-provid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2</TotalTime>
  <ScaleCrop>false</ScaleCrop>
  <LinksUpToDate>false</LinksUpToDate>
  <CharactersWithSpaces>7447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2025-10-03T09:43:08Z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C6A9CF9D68214B928D7D31B9CD245E0B</vt:lpwstr>
  </property>
</Properties>
</file>